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56" w:beforeLines="50" w:after="156" w:afterLines="50" w:line="0" w:lineRule="atLeast"/>
        <w:jc w:val="center"/>
        <w:rPr>
          <w:rFonts w:ascii="微软雅黑" w:hAnsi="微软雅黑" w:eastAsia="微软雅黑" w:cs="微软雅黑"/>
          <w:b/>
          <w:sz w:val="32"/>
        </w:rPr>
      </w:pPr>
      <w:bookmarkStart w:id="0" w:name="_Toc33416549"/>
      <w:bookmarkStart w:id="1" w:name="_Toc31597373"/>
      <w:bookmarkStart w:id="2" w:name="_Toc31598697"/>
      <w:bookmarkStart w:id="3" w:name="_Toc33414365"/>
      <w:bookmarkStart w:id="4" w:name="文档名称"/>
      <w:r>
        <w:rPr>
          <w:rFonts w:hint="eastAsia" w:ascii="微软雅黑" w:hAnsi="微软雅黑" w:eastAsia="微软雅黑" w:cs="微软雅黑"/>
          <w:b/>
          <w:sz w:val="32"/>
        </w:rPr>
        <w:t xml:space="preserve"> 福建博思软件股份有限公司</w:t>
      </w:r>
      <w:bookmarkEnd w:id="0"/>
      <w:bookmarkEnd w:id="1"/>
      <w:bookmarkEnd w:id="2"/>
      <w:bookmarkEnd w:id="3"/>
    </w:p>
    <w:p>
      <w:pPr>
        <w:spacing w:before="156" w:beforeLines="50" w:after="156" w:afterLines="50" w:line="0" w:lineRule="atLeast"/>
        <w:jc w:val="center"/>
        <w:rPr>
          <w:rFonts w:ascii="微软雅黑" w:hAnsi="微软雅黑" w:eastAsia="微软雅黑" w:cs="微软雅黑"/>
          <w:b/>
          <w:bCs/>
          <w:sz w:val="36"/>
        </w:rPr>
      </w:pPr>
    </w:p>
    <w:p>
      <w:pPr>
        <w:spacing w:before="156" w:beforeLines="50" w:after="156" w:afterLines="50" w:line="0" w:lineRule="atLeast"/>
        <w:jc w:val="center"/>
        <w:rPr>
          <w:rFonts w:ascii="微软雅黑" w:hAnsi="微软雅黑" w:eastAsia="微软雅黑" w:cs="微软雅黑"/>
          <w:b/>
          <w:bCs/>
          <w:sz w:val="36"/>
        </w:rPr>
      </w:pPr>
    </w:p>
    <w:p>
      <w:pPr>
        <w:spacing w:before="156" w:beforeLines="50" w:after="156" w:afterLines="50" w:line="0" w:lineRule="atLeast"/>
        <w:jc w:val="center"/>
        <w:rPr>
          <w:rFonts w:ascii="微软雅黑" w:hAnsi="微软雅黑" w:eastAsia="微软雅黑" w:cs="微软雅黑"/>
          <w:b/>
          <w:bCs/>
          <w:sz w:val="36"/>
        </w:rPr>
      </w:pPr>
    </w:p>
    <w:p>
      <w:pPr>
        <w:spacing w:before="156" w:beforeLines="50" w:after="156" w:afterLines="50" w:line="0" w:lineRule="atLeast"/>
        <w:jc w:val="center"/>
        <w:rPr>
          <w:rFonts w:ascii="微软雅黑" w:hAnsi="微软雅黑" w:eastAsia="微软雅黑" w:cs="微软雅黑"/>
          <w:b/>
          <w:bCs/>
          <w:sz w:val="36"/>
        </w:rPr>
      </w:pPr>
    </w:p>
    <w:p>
      <w:pPr>
        <w:spacing w:before="156" w:beforeLines="50" w:after="156" w:afterLines="50" w:line="0" w:lineRule="atLeast"/>
        <w:jc w:val="center"/>
        <w:rPr>
          <w:rFonts w:ascii="微软雅黑" w:hAnsi="微软雅黑" w:eastAsia="微软雅黑" w:cs="微软雅黑"/>
          <w:b/>
          <w:bCs/>
          <w:sz w:val="36"/>
        </w:rPr>
      </w:pPr>
    </w:p>
    <w:p>
      <w:pPr>
        <w:adjustRightInd w:val="0"/>
        <w:snapToGrid w:val="0"/>
        <w:spacing w:before="156" w:beforeLines="50" w:after="156" w:afterLines="50" w:line="0" w:lineRule="atLeast"/>
        <w:rPr>
          <w:rFonts w:ascii="微软雅黑" w:hAnsi="微软雅黑" w:eastAsia="微软雅黑" w:cs="微软雅黑"/>
          <w:b/>
          <w:bCs/>
          <w:sz w:val="36"/>
        </w:rPr>
      </w:pPr>
    </w:p>
    <w:p>
      <w:pPr>
        <w:adjustRightInd w:val="0"/>
        <w:snapToGrid w:val="0"/>
        <w:spacing w:before="156" w:beforeLines="50" w:after="156" w:afterLines="50" w:line="0" w:lineRule="atLeast"/>
        <w:jc w:val="center"/>
        <w:rPr>
          <w:rFonts w:ascii="微软雅黑" w:hAnsi="微软雅黑" w:eastAsia="微软雅黑" w:cs="微软雅黑"/>
          <w:b/>
          <w:bCs/>
          <w:sz w:val="44"/>
          <w:szCs w:val="44"/>
        </w:rPr>
      </w:pPr>
      <w:r>
        <w:rPr>
          <w:rFonts w:hint="eastAsia" w:ascii="微软雅黑" w:hAnsi="微软雅黑" w:eastAsia="微软雅黑" w:cs="微软雅黑"/>
          <w:b/>
          <w:bCs/>
          <w:sz w:val="48"/>
        </w:rPr>
        <w:t>医疗电子票据管理平台</w:t>
      </w:r>
    </w:p>
    <w:p>
      <w:pPr>
        <w:adjustRightInd w:val="0"/>
        <w:snapToGrid w:val="0"/>
        <w:spacing w:before="156" w:beforeLines="50" w:after="156" w:afterLines="50" w:line="0" w:lineRule="atLeast"/>
        <w:jc w:val="center"/>
        <w:rPr>
          <w:rFonts w:ascii="微软雅黑" w:hAnsi="微软雅黑" w:eastAsia="微软雅黑" w:cs="微软雅黑"/>
          <w:b/>
          <w:bCs/>
          <w:sz w:val="32"/>
        </w:rPr>
      </w:pPr>
      <w:r>
        <w:rPr>
          <w:rFonts w:hint="eastAsia" w:ascii="微软雅黑" w:hAnsi="微软雅黑" w:eastAsia="微软雅黑" w:cs="微软雅黑"/>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21590</wp:posOffset>
                </wp:positionV>
                <wp:extent cx="5372100" cy="635"/>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5372100" cy="635"/>
                        </a:xfrm>
                        <a:prstGeom prst="line">
                          <a:avLst/>
                        </a:prstGeom>
                        <a:noFill/>
                        <a:ln w="12700">
                          <a:solidFill>
                            <a:srgbClr val="000000"/>
                          </a:solidFill>
                          <a:round/>
                        </a:ln>
                        <a:effectLst/>
                      </wps:spPr>
                      <wps:bodyPr/>
                    </wps:wsp>
                  </a:graphicData>
                </a:graphic>
              </wp:anchor>
            </w:drawing>
          </mc:Choice>
          <mc:Fallback>
            <w:pict>
              <v:line id="_x0000_s1026" o:spid="_x0000_s1026" o:spt="20" style="position:absolute;left:0pt;margin-left:0pt;margin-top:1.7pt;height:0.05pt;width:423pt;z-index:251659264;mso-width-relative:page;mso-height-relative:page;" filled="f" stroked="t" coordsize="21600,21600" o:gfxdata="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0/p6p9QA&#10;AAAEAQAADwAAAAAAAAABACAAAAAiAAAAZHJzL2Rvd25yZXYueG1sUEsBAhQAFAAAAAgAh07iQDP2&#10;cP3qAQAAuwMAAA4AAAAAAAAAAQAgAAAAIwEAAGRycy9lMm9Eb2MueG1sUEsFBgAAAAAGAAYAWQEA&#10;AH8FAAAAAA==&#10;">
                <v:fill on="f" focussize="0,0"/>
                <v:stroke weight="1pt" color="#000000" joinstyle="round"/>
                <v:imagedata o:title=""/>
                <o:lock v:ext="edit" aspectratio="f"/>
              </v:line>
            </w:pict>
          </mc:Fallback>
        </mc:AlternateContent>
      </w:r>
      <w:r>
        <w:rPr>
          <w:rFonts w:hint="eastAsia" w:ascii="微软雅黑" w:hAnsi="微软雅黑" w:eastAsia="微软雅黑" w:cs="微软雅黑"/>
          <w:b/>
          <w:bCs/>
          <w:sz w:val="32"/>
        </w:rPr>
        <w:t>接口规范说明书</w:t>
      </w:r>
    </w:p>
    <w:p>
      <w:pPr>
        <w:adjustRightInd w:val="0"/>
        <w:snapToGrid w:val="0"/>
        <w:spacing w:before="156" w:beforeLines="50" w:after="156" w:afterLines="50" w:line="0" w:lineRule="atLeast"/>
        <w:rPr>
          <w:rFonts w:ascii="微软雅黑" w:hAnsi="微软雅黑" w:eastAsia="微软雅黑" w:cs="微软雅黑"/>
        </w:rPr>
      </w:pPr>
    </w:p>
    <w:p>
      <w:pPr>
        <w:adjustRightInd w:val="0"/>
        <w:snapToGrid w:val="0"/>
        <w:spacing w:before="156" w:beforeLines="50" w:after="156" w:afterLines="50" w:line="0" w:lineRule="atLeast"/>
        <w:rPr>
          <w:rFonts w:ascii="微软雅黑" w:hAnsi="微软雅黑" w:eastAsia="微软雅黑" w:cs="微软雅黑"/>
        </w:rPr>
      </w:pPr>
    </w:p>
    <w:p>
      <w:pPr>
        <w:adjustRightInd w:val="0"/>
        <w:snapToGrid w:val="0"/>
        <w:spacing w:before="156" w:beforeLines="50" w:after="156" w:afterLines="50" w:line="0" w:lineRule="atLeast"/>
        <w:rPr>
          <w:rFonts w:ascii="微软雅黑" w:hAnsi="微软雅黑" w:eastAsia="微软雅黑" w:cs="微软雅黑"/>
        </w:rPr>
      </w:pPr>
    </w:p>
    <w:p>
      <w:pPr>
        <w:adjustRightInd w:val="0"/>
        <w:snapToGrid w:val="0"/>
        <w:spacing w:before="156" w:beforeLines="50" w:after="156" w:afterLines="50" w:line="0" w:lineRule="atLeast"/>
        <w:rPr>
          <w:rFonts w:ascii="微软雅黑" w:hAnsi="微软雅黑" w:eastAsia="微软雅黑" w:cs="微软雅黑"/>
        </w:rPr>
      </w:pPr>
    </w:p>
    <w:p>
      <w:pPr>
        <w:adjustRightInd w:val="0"/>
        <w:snapToGrid w:val="0"/>
        <w:spacing w:before="156" w:beforeLines="50" w:after="156" w:afterLines="50" w:line="0" w:lineRule="atLeast"/>
        <w:rPr>
          <w:rFonts w:ascii="微软雅黑" w:hAnsi="微软雅黑" w:eastAsia="微软雅黑" w:cs="微软雅黑"/>
        </w:rPr>
      </w:pPr>
    </w:p>
    <w:p>
      <w:pPr>
        <w:adjustRightInd w:val="0"/>
        <w:snapToGrid w:val="0"/>
        <w:spacing w:before="156" w:beforeLines="50" w:after="156" w:afterLines="50" w:line="0" w:lineRule="atLeast"/>
        <w:rPr>
          <w:rFonts w:ascii="微软雅黑" w:hAnsi="微软雅黑" w:eastAsia="微软雅黑" w:cs="微软雅黑"/>
        </w:rPr>
      </w:pPr>
    </w:p>
    <w:bookmarkEnd w:id="4"/>
    <w:p>
      <w:pPr>
        <w:adjustRightInd w:val="0"/>
        <w:snapToGrid w:val="0"/>
        <w:spacing w:before="156" w:beforeLines="50" w:after="156" w:afterLines="50" w:line="0" w:lineRule="atLeast"/>
        <w:rPr>
          <w:rFonts w:ascii="微软雅黑" w:hAnsi="微软雅黑" w:eastAsia="微软雅黑" w:cs="微软雅黑"/>
        </w:rPr>
      </w:pPr>
    </w:p>
    <w:p>
      <w:pPr>
        <w:spacing w:before="156" w:beforeLines="50" w:after="156" w:afterLines="50" w:line="0" w:lineRule="atLeast"/>
        <w:rPr>
          <w:rFonts w:ascii="微软雅黑" w:hAnsi="微软雅黑" w:eastAsia="微软雅黑" w:cs="微软雅黑"/>
          <w:sz w:val="44"/>
          <w:szCs w:val="44"/>
        </w:rPr>
        <w:sectPr>
          <w:headerReference r:id="rId5" w:type="default"/>
          <w:footerReference r:id="rId6" w:type="even"/>
          <w:pgSz w:w="11906" w:h="16838"/>
          <w:pgMar w:top="1440" w:right="1800" w:bottom="1440" w:left="1800" w:header="851" w:footer="992" w:gutter="0"/>
          <w:pgNumType w:start="1"/>
          <w:cols w:space="425" w:num="1"/>
          <w:docGrid w:type="lines" w:linePitch="312" w:charSpace="0"/>
        </w:sectPr>
      </w:pPr>
      <w:r>
        <w:rPr>
          <w:rFonts w:hint="eastAsia" w:ascii="微软雅黑" w:hAnsi="微软雅黑" w:eastAsia="微软雅黑" w:cs="微软雅黑"/>
        </w:rPr>
        <w:br w:type="page"/>
      </w:r>
    </w:p>
    <w:p>
      <w:pPr>
        <w:pStyle w:val="111"/>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目  录</w:t>
      </w:r>
    </w:p>
    <w:p>
      <w:pPr>
        <w:pStyle w:val="2"/>
        <w:snapToGrid w:val="0"/>
        <w:spacing w:before="156" w:beforeLines="50" w:after="156" w:afterLines="50" w:line="0" w:lineRule="atLeast"/>
        <w:ind w:left="0" w:firstLine="0"/>
        <w:rPr>
          <w:rFonts w:ascii="微软雅黑" w:hAnsi="微软雅黑" w:eastAsia="微软雅黑" w:cs="微软雅黑"/>
        </w:rPr>
        <w:sectPr>
          <w:headerReference r:id="rId7" w:type="default"/>
          <w:pgSz w:w="11906" w:h="16838"/>
          <w:pgMar w:top="1440" w:right="1800" w:bottom="1440" w:left="1800" w:header="709" w:footer="992" w:gutter="0"/>
          <w:pgNumType w:start="1"/>
          <w:cols w:space="425" w:num="1"/>
          <w:docGrid w:type="lines" w:linePitch="312" w:charSpace="0"/>
        </w:sectPr>
      </w:pP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TOC \o "1-3" \h \u </w:instrText>
      </w:r>
      <w:r>
        <w:rPr>
          <w:rFonts w:hint="eastAsia" w:ascii="微软雅黑" w:hAnsi="微软雅黑" w:eastAsia="微软雅黑" w:cs="微软雅黑"/>
        </w:rPr>
        <w:fldChar w:fldCharType="separate"/>
      </w: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_Toc3859 </w:instrText>
      </w:r>
      <w:r>
        <w:rPr>
          <w:rFonts w:hint="eastAsia" w:ascii="微软雅黑" w:hAnsi="微软雅黑" w:eastAsia="微软雅黑" w:cs="微软雅黑"/>
        </w:rPr>
        <w:fldChar w:fldCharType="separate"/>
      </w:r>
      <w:r>
        <w:rPr>
          <w:rFonts w:ascii="微软雅黑" w:hAnsi="微软雅黑" w:eastAsia="微软雅黑" w:cs="微软雅黑"/>
        </w:rPr>
        <w:t xml:space="preserve">1 </w:t>
      </w:r>
      <w:r>
        <w:rPr>
          <w:rFonts w:hint="eastAsia" w:ascii="微软雅黑" w:hAnsi="微软雅黑" w:eastAsia="微软雅黑" w:cs="微软雅黑"/>
        </w:rPr>
        <w:t>前言</w:t>
      </w:r>
      <w:r>
        <w:tab/>
      </w:r>
      <w:r>
        <w:fldChar w:fldCharType="begin"/>
      </w:r>
      <w:r>
        <w:instrText xml:space="preserve"> PAGEREF _Toc3859 \h </w:instrText>
      </w:r>
      <w:r>
        <w:fldChar w:fldCharType="separate"/>
      </w:r>
      <w:r>
        <w:t>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_Toc22282 </w:instrText>
      </w:r>
      <w:r>
        <w:rPr>
          <w:rFonts w:hint="eastAsia" w:ascii="微软雅黑" w:hAnsi="微软雅黑" w:eastAsia="微软雅黑" w:cs="微软雅黑"/>
        </w:rPr>
        <w:fldChar w:fldCharType="separate"/>
      </w:r>
      <w:r>
        <w:rPr>
          <w:rFonts w:ascii="微软雅黑" w:hAnsi="微软雅黑" w:eastAsia="微软雅黑" w:cs="微软雅黑"/>
        </w:rPr>
        <w:t xml:space="preserve">1.1 </w:t>
      </w:r>
      <w:r>
        <w:rPr>
          <w:rFonts w:hint="eastAsia" w:ascii="微软雅黑" w:hAnsi="微软雅黑" w:eastAsia="微软雅黑" w:cs="微软雅黑"/>
        </w:rPr>
        <w:t>目的</w:t>
      </w:r>
      <w:r>
        <w:tab/>
      </w:r>
      <w:r>
        <w:fldChar w:fldCharType="begin"/>
      </w:r>
      <w:r>
        <w:instrText xml:space="preserve"> PAGEREF _Toc22282 \h </w:instrText>
      </w:r>
      <w:r>
        <w:fldChar w:fldCharType="separate"/>
      </w:r>
      <w:r>
        <w:t>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_Toc10661 </w:instrText>
      </w:r>
      <w:r>
        <w:rPr>
          <w:rFonts w:hint="eastAsia" w:ascii="微软雅黑" w:hAnsi="微软雅黑" w:eastAsia="微软雅黑" w:cs="微软雅黑"/>
        </w:rPr>
        <w:fldChar w:fldCharType="separate"/>
      </w:r>
      <w:r>
        <w:rPr>
          <w:rFonts w:ascii="微软雅黑" w:hAnsi="微软雅黑" w:eastAsia="微软雅黑" w:cs="微软雅黑"/>
        </w:rPr>
        <w:t xml:space="preserve">1.2 </w:t>
      </w:r>
      <w:r>
        <w:rPr>
          <w:rFonts w:hint="eastAsia" w:ascii="微软雅黑" w:hAnsi="微软雅黑" w:eastAsia="微软雅黑" w:cs="微软雅黑"/>
        </w:rPr>
        <w:t>预期读者</w:t>
      </w:r>
      <w:r>
        <w:tab/>
      </w:r>
      <w:r>
        <w:fldChar w:fldCharType="begin"/>
      </w:r>
      <w:r>
        <w:instrText xml:space="preserve"> PAGEREF _Toc10661 \h </w:instrText>
      </w:r>
      <w:r>
        <w:fldChar w:fldCharType="separate"/>
      </w:r>
      <w:r>
        <w:t>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_Toc10883 </w:instrText>
      </w:r>
      <w:r>
        <w:rPr>
          <w:rFonts w:hint="eastAsia" w:ascii="微软雅黑" w:hAnsi="微软雅黑" w:eastAsia="微软雅黑" w:cs="微软雅黑"/>
        </w:rPr>
        <w:fldChar w:fldCharType="separate"/>
      </w:r>
      <w:r>
        <w:rPr>
          <w:rFonts w:ascii="微软雅黑" w:hAnsi="微软雅黑" w:eastAsia="微软雅黑" w:cs="微软雅黑"/>
        </w:rPr>
        <w:t xml:space="preserve">1.3 </w:t>
      </w:r>
      <w:r>
        <w:rPr>
          <w:rFonts w:hint="eastAsia" w:ascii="微软雅黑" w:hAnsi="微软雅黑" w:eastAsia="微软雅黑" w:cs="微软雅黑"/>
        </w:rPr>
        <w:t>背景</w:t>
      </w:r>
      <w:r>
        <w:tab/>
      </w:r>
      <w:r>
        <w:fldChar w:fldCharType="begin"/>
      </w:r>
      <w:r>
        <w:instrText xml:space="preserve"> PAGEREF _Toc10883 \h </w:instrText>
      </w:r>
      <w:r>
        <w:fldChar w:fldCharType="separate"/>
      </w:r>
      <w:r>
        <w:t>4</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_Toc5450 </w:instrText>
      </w:r>
      <w:r>
        <w:rPr>
          <w:rFonts w:hint="eastAsia" w:ascii="微软雅黑" w:hAnsi="微软雅黑" w:eastAsia="微软雅黑" w:cs="微软雅黑"/>
        </w:rPr>
        <w:fldChar w:fldCharType="separate"/>
      </w:r>
      <w:r>
        <w:rPr>
          <w:rFonts w:ascii="微软雅黑" w:hAnsi="微软雅黑" w:eastAsia="微软雅黑" w:cs="微软雅黑"/>
        </w:rPr>
        <w:t xml:space="preserve">2 </w:t>
      </w:r>
      <w:r>
        <w:rPr>
          <w:rFonts w:hint="eastAsia" w:ascii="微软雅黑" w:hAnsi="微软雅黑" w:eastAsia="微软雅黑" w:cs="微软雅黑"/>
        </w:rPr>
        <w:t>接口规范说明</w:t>
      </w:r>
      <w:r>
        <w:tab/>
      </w:r>
      <w:r>
        <w:fldChar w:fldCharType="begin"/>
      </w:r>
      <w:r>
        <w:instrText xml:space="preserve"> PAGEREF _Toc5450 \h </w:instrText>
      </w:r>
      <w:r>
        <w:fldChar w:fldCharType="separate"/>
      </w:r>
      <w:r>
        <w:t>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_Toc18047 </w:instrText>
      </w:r>
      <w:r>
        <w:rPr>
          <w:rFonts w:hint="eastAsia" w:ascii="微软雅黑" w:hAnsi="微软雅黑" w:eastAsia="微软雅黑" w:cs="微软雅黑"/>
        </w:rPr>
        <w:fldChar w:fldCharType="separate"/>
      </w:r>
      <w:r>
        <w:rPr>
          <w:rFonts w:ascii="微软雅黑" w:hAnsi="微软雅黑" w:eastAsia="微软雅黑" w:cs="微软雅黑"/>
        </w:rPr>
        <w:t xml:space="preserve">2.1 </w:t>
      </w:r>
      <w:r>
        <w:rPr>
          <w:rFonts w:hint="eastAsia" w:ascii="微软雅黑" w:hAnsi="微软雅黑" w:eastAsia="微软雅黑" w:cs="微软雅黑"/>
        </w:rPr>
        <w:t>访问协议</w:t>
      </w:r>
      <w:r>
        <w:tab/>
      </w:r>
      <w:r>
        <w:fldChar w:fldCharType="begin"/>
      </w:r>
      <w:r>
        <w:instrText xml:space="preserve"> PAGEREF _Toc18047 \h </w:instrText>
      </w:r>
      <w:r>
        <w:fldChar w:fldCharType="separate"/>
      </w:r>
      <w:r>
        <w:t>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_Toc28984 </w:instrText>
      </w:r>
      <w:r>
        <w:rPr>
          <w:rFonts w:hint="eastAsia" w:ascii="微软雅黑" w:hAnsi="微软雅黑" w:eastAsia="微软雅黑" w:cs="微软雅黑"/>
        </w:rPr>
        <w:fldChar w:fldCharType="separate"/>
      </w:r>
      <w:r>
        <w:rPr>
          <w:rFonts w:ascii="微软雅黑" w:hAnsi="微软雅黑" w:eastAsia="微软雅黑" w:cs="微软雅黑"/>
        </w:rPr>
        <w:t xml:space="preserve">2.2 </w:t>
      </w:r>
      <w:r>
        <w:rPr>
          <w:rFonts w:hint="eastAsia" w:ascii="微软雅黑" w:hAnsi="微软雅黑" w:eastAsia="微软雅黑" w:cs="微软雅黑"/>
        </w:rPr>
        <w:t>访问授权</w:t>
      </w:r>
      <w:r>
        <w:tab/>
      </w:r>
      <w:r>
        <w:fldChar w:fldCharType="begin"/>
      </w:r>
      <w:r>
        <w:instrText xml:space="preserve"> PAGEREF _Toc28984 \h </w:instrText>
      </w:r>
      <w:r>
        <w:fldChar w:fldCharType="separate"/>
      </w:r>
      <w:r>
        <w:t>5</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_Toc15667 </w:instrText>
      </w:r>
      <w:r>
        <w:rPr>
          <w:rFonts w:hint="eastAsia" w:ascii="微软雅黑" w:hAnsi="微软雅黑" w:eastAsia="微软雅黑" w:cs="微软雅黑"/>
        </w:rPr>
        <w:fldChar w:fldCharType="separate"/>
      </w:r>
      <w:r>
        <w:rPr>
          <w:rFonts w:ascii="微软雅黑" w:hAnsi="微软雅黑" w:eastAsia="微软雅黑" w:cs="微软雅黑"/>
        </w:rPr>
        <w:t xml:space="preserve">2.3 </w:t>
      </w:r>
      <w:r>
        <w:rPr>
          <w:rFonts w:hint="eastAsia" w:ascii="微软雅黑" w:hAnsi="微软雅黑" w:eastAsia="微软雅黑" w:cs="微软雅黑"/>
        </w:rPr>
        <w:t>参数规范</w:t>
      </w:r>
      <w:r>
        <w:tab/>
      </w:r>
      <w:r>
        <w:fldChar w:fldCharType="begin"/>
      </w:r>
      <w:r>
        <w:instrText xml:space="preserve"> PAGEREF _Toc15667 \h </w:instrText>
      </w:r>
      <w:r>
        <w:fldChar w:fldCharType="separate"/>
      </w:r>
      <w:r>
        <w:t>5</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_Toc7996 </w:instrText>
      </w:r>
      <w:r>
        <w:rPr>
          <w:rFonts w:hint="eastAsia" w:ascii="微软雅黑" w:hAnsi="微软雅黑" w:eastAsia="微软雅黑" w:cs="微软雅黑"/>
        </w:rPr>
        <w:fldChar w:fldCharType="separate"/>
      </w:r>
      <w:r>
        <w:rPr>
          <w:rFonts w:ascii="微软雅黑" w:hAnsi="微软雅黑" w:eastAsia="微软雅黑" w:cs="微软雅黑"/>
        </w:rPr>
        <w:t xml:space="preserve">2.3.1 </w:t>
      </w:r>
      <w:r>
        <w:rPr>
          <w:rFonts w:hint="eastAsia" w:ascii="微软雅黑" w:hAnsi="微软雅黑" w:eastAsia="微软雅黑" w:cs="微软雅黑"/>
        </w:rPr>
        <w:t>服务请求方发送请求</w:t>
      </w:r>
      <w:r>
        <w:tab/>
      </w:r>
      <w:r>
        <w:fldChar w:fldCharType="begin"/>
      </w:r>
      <w:r>
        <w:instrText xml:space="preserve"> PAGEREF _Toc7996 \h </w:instrText>
      </w:r>
      <w:r>
        <w:fldChar w:fldCharType="separate"/>
      </w:r>
      <w:r>
        <w:t>5</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_Toc26599 </w:instrText>
      </w:r>
      <w:r>
        <w:rPr>
          <w:rFonts w:hint="eastAsia" w:ascii="微软雅黑" w:hAnsi="微软雅黑" w:eastAsia="微软雅黑" w:cs="微软雅黑"/>
        </w:rPr>
        <w:fldChar w:fldCharType="separate"/>
      </w:r>
      <w:r>
        <w:rPr>
          <w:rFonts w:ascii="微软雅黑" w:hAnsi="微软雅黑" w:eastAsia="微软雅黑" w:cs="微软雅黑"/>
        </w:rPr>
        <w:t xml:space="preserve">2.3.2 </w:t>
      </w:r>
      <w:r>
        <w:rPr>
          <w:rFonts w:hint="eastAsia" w:ascii="微软雅黑" w:hAnsi="微软雅黑" w:eastAsia="微软雅黑" w:cs="微软雅黑"/>
        </w:rPr>
        <w:t>服务提供者返回请求结果</w:t>
      </w:r>
      <w:r>
        <w:tab/>
      </w:r>
      <w:r>
        <w:fldChar w:fldCharType="begin"/>
      </w:r>
      <w:r>
        <w:instrText xml:space="preserve"> PAGEREF _Toc26599 \h </w:instrText>
      </w:r>
      <w:r>
        <w:fldChar w:fldCharType="separate"/>
      </w:r>
      <w:r>
        <w:t>6</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_Toc16257 </w:instrText>
      </w:r>
      <w:r>
        <w:rPr>
          <w:rFonts w:hint="eastAsia" w:ascii="微软雅黑" w:hAnsi="微软雅黑" w:eastAsia="微软雅黑" w:cs="微软雅黑"/>
        </w:rPr>
        <w:fldChar w:fldCharType="separate"/>
      </w:r>
      <w:r>
        <w:rPr>
          <w:rFonts w:ascii="微软雅黑" w:hAnsi="微软雅黑" w:eastAsia="微软雅黑" w:cs="微软雅黑"/>
        </w:rPr>
        <w:t xml:space="preserve">2.4 </w:t>
      </w:r>
      <w:r>
        <w:rPr>
          <w:rFonts w:hint="eastAsia" w:ascii="微软雅黑" w:hAnsi="微软雅黑" w:eastAsia="微软雅黑" w:cs="微软雅黑"/>
        </w:rPr>
        <w:t>签名规则</w:t>
      </w:r>
      <w:r>
        <w:tab/>
      </w:r>
      <w:r>
        <w:fldChar w:fldCharType="begin"/>
      </w:r>
      <w:r>
        <w:instrText xml:space="preserve"> PAGEREF _Toc16257 \h </w:instrText>
      </w:r>
      <w:r>
        <w:fldChar w:fldCharType="separate"/>
      </w:r>
      <w:r>
        <w:t>7</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_Toc27152 </w:instrText>
      </w:r>
      <w:r>
        <w:rPr>
          <w:rFonts w:hint="eastAsia" w:ascii="微软雅黑" w:hAnsi="微软雅黑" w:eastAsia="微软雅黑" w:cs="微软雅黑"/>
        </w:rPr>
        <w:fldChar w:fldCharType="separate"/>
      </w:r>
      <w:r>
        <w:rPr>
          <w:rFonts w:ascii="微软雅黑" w:hAnsi="微软雅黑" w:eastAsia="微软雅黑" w:cs="微软雅黑"/>
        </w:rPr>
        <w:t xml:space="preserve">2.4.1 </w:t>
      </w:r>
      <w:r>
        <w:rPr>
          <w:rFonts w:hint="eastAsia" w:ascii="微软雅黑" w:hAnsi="微软雅黑" w:eastAsia="微软雅黑" w:cs="微软雅黑"/>
        </w:rPr>
        <w:t>签名算法</w:t>
      </w:r>
      <w:r>
        <w:tab/>
      </w:r>
      <w:r>
        <w:fldChar w:fldCharType="begin"/>
      </w:r>
      <w:r>
        <w:instrText xml:space="preserve"> PAGEREF _Toc27152 \h </w:instrText>
      </w:r>
      <w:r>
        <w:fldChar w:fldCharType="separate"/>
      </w:r>
      <w:r>
        <w:t>7</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_Toc17343 </w:instrText>
      </w:r>
      <w:r>
        <w:rPr>
          <w:rFonts w:hint="eastAsia" w:ascii="微软雅黑" w:hAnsi="微软雅黑" w:eastAsia="微软雅黑" w:cs="微软雅黑"/>
        </w:rPr>
        <w:fldChar w:fldCharType="separate"/>
      </w:r>
      <w:r>
        <w:rPr>
          <w:rFonts w:ascii="微软雅黑" w:hAnsi="微软雅黑" w:eastAsia="微软雅黑" w:cs="微软雅黑"/>
        </w:rPr>
        <w:t xml:space="preserve">2.4.2 </w:t>
      </w:r>
      <w:r>
        <w:rPr>
          <w:rFonts w:hint="eastAsia" w:ascii="微软雅黑" w:hAnsi="微软雅黑" w:eastAsia="微软雅黑" w:cs="微软雅黑"/>
        </w:rPr>
        <w:t>请求随机标识算法</w:t>
      </w:r>
      <w:r>
        <w:tab/>
      </w:r>
      <w:r>
        <w:fldChar w:fldCharType="begin"/>
      </w:r>
      <w:r>
        <w:instrText xml:space="preserve"> PAGEREF _Toc17343 \h </w:instrText>
      </w:r>
      <w:r>
        <w:fldChar w:fldCharType="separate"/>
      </w:r>
      <w:r>
        <w:t>8</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_Toc8787 </w:instrText>
      </w:r>
      <w:r>
        <w:rPr>
          <w:rFonts w:hint="eastAsia" w:ascii="微软雅黑" w:hAnsi="微软雅黑" w:eastAsia="微软雅黑" w:cs="微软雅黑"/>
        </w:rPr>
        <w:fldChar w:fldCharType="separate"/>
      </w:r>
      <w:r>
        <w:rPr>
          <w:rFonts w:ascii="微软雅黑" w:hAnsi="微软雅黑" w:eastAsia="微软雅黑" w:cs="微软雅黑"/>
        </w:rPr>
        <w:t xml:space="preserve">2.5 </w:t>
      </w:r>
      <w:r>
        <w:rPr>
          <w:rFonts w:hint="eastAsia" w:ascii="微软雅黑" w:hAnsi="微软雅黑" w:eastAsia="微软雅黑" w:cs="微软雅黑"/>
        </w:rPr>
        <w:t>请求与返回参数构成</w:t>
      </w:r>
      <w:r>
        <w:tab/>
      </w:r>
      <w:r>
        <w:fldChar w:fldCharType="begin"/>
      </w:r>
      <w:r>
        <w:instrText xml:space="preserve"> PAGEREF _Toc8787 \h </w:instrText>
      </w:r>
      <w:r>
        <w:fldChar w:fldCharType="separate"/>
      </w:r>
      <w:r>
        <w:t>8</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_Toc7330 </w:instrText>
      </w:r>
      <w:r>
        <w:rPr>
          <w:rFonts w:hint="eastAsia" w:ascii="微软雅黑" w:hAnsi="微软雅黑" w:eastAsia="微软雅黑" w:cs="微软雅黑"/>
        </w:rPr>
        <w:fldChar w:fldCharType="separate"/>
      </w:r>
      <w:r>
        <w:rPr>
          <w:rFonts w:ascii="微软雅黑" w:hAnsi="微软雅黑" w:eastAsia="微软雅黑" w:cs="微软雅黑"/>
        </w:rPr>
        <w:t xml:space="preserve">2.6 </w:t>
      </w:r>
      <w:r>
        <w:rPr>
          <w:rFonts w:hint="eastAsia" w:ascii="微软雅黑" w:hAnsi="微软雅黑" w:eastAsia="微软雅黑" w:cs="微软雅黑"/>
        </w:rPr>
        <w:t>通用失败应答</w:t>
      </w:r>
      <w:r>
        <w:tab/>
      </w:r>
      <w:r>
        <w:fldChar w:fldCharType="begin"/>
      </w:r>
      <w:r>
        <w:instrText xml:space="preserve"> PAGEREF _Toc7330 \h </w:instrText>
      </w:r>
      <w:r>
        <w:fldChar w:fldCharType="separate"/>
      </w:r>
      <w:r>
        <w:t>10</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_Toc8386 </w:instrText>
      </w:r>
      <w:r>
        <w:rPr>
          <w:rFonts w:hint="eastAsia" w:ascii="微软雅黑" w:hAnsi="微软雅黑" w:eastAsia="微软雅黑" w:cs="微软雅黑"/>
        </w:rPr>
        <w:fldChar w:fldCharType="separate"/>
      </w:r>
      <w:r>
        <w:rPr>
          <w:rFonts w:ascii="微软雅黑" w:hAnsi="微软雅黑" w:eastAsia="微软雅黑" w:cs="微软雅黑"/>
        </w:rPr>
        <w:t xml:space="preserve">2.7 </w:t>
      </w:r>
      <w:r>
        <w:rPr>
          <w:rFonts w:hint="eastAsia" w:ascii="微软雅黑" w:hAnsi="微软雅黑" w:eastAsia="微软雅黑" w:cs="微软雅黑"/>
        </w:rPr>
        <w:t>通用成功应答</w:t>
      </w:r>
      <w:r>
        <w:tab/>
      </w:r>
      <w:r>
        <w:fldChar w:fldCharType="begin"/>
      </w:r>
      <w:r>
        <w:instrText xml:space="preserve"> PAGEREF _Toc8386 \h </w:instrText>
      </w:r>
      <w:r>
        <w:fldChar w:fldCharType="separate"/>
      </w:r>
      <w:r>
        <w:t>10</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_Toc23467 </w:instrText>
      </w:r>
      <w:r>
        <w:rPr>
          <w:rFonts w:hint="eastAsia" w:ascii="微软雅黑" w:hAnsi="微软雅黑" w:eastAsia="微软雅黑" w:cs="微软雅黑"/>
        </w:rPr>
        <w:fldChar w:fldCharType="separate"/>
      </w:r>
      <w:r>
        <w:rPr>
          <w:rFonts w:ascii="微软雅黑" w:hAnsi="微软雅黑" w:eastAsia="微软雅黑" w:cs="微软雅黑"/>
        </w:rPr>
        <w:t xml:space="preserve">2.8 </w:t>
      </w:r>
      <w:r>
        <w:rPr>
          <w:rFonts w:hint="eastAsia" w:ascii="微软雅黑" w:hAnsi="微软雅黑" w:eastAsia="微软雅黑" w:cs="微软雅黑"/>
        </w:rPr>
        <w:t>参数数据类型约定</w:t>
      </w:r>
      <w:r>
        <w:tab/>
      </w:r>
      <w:r>
        <w:fldChar w:fldCharType="begin"/>
      </w:r>
      <w:r>
        <w:instrText xml:space="preserve"> PAGEREF _Toc23467 \h </w:instrText>
      </w:r>
      <w:r>
        <w:fldChar w:fldCharType="separate"/>
      </w:r>
      <w:r>
        <w:t>11</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_Toc13255 </w:instrText>
      </w:r>
      <w:r>
        <w:rPr>
          <w:rFonts w:hint="eastAsia" w:ascii="微软雅黑" w:hAnsi="微软雅黑" w:eastAsia="微软雅黑" w:cs="微软雅黑"/>
        </w:rPr>
        <w:fldChar w:fldCharType="separate"/>
      </w:r>
      <w:r>
        <w:rPr>
          <w:rFonts w:ascii="微软雅黑" w:hAnsi="微软雅黑" w:eastAsia="微软雅黑" w:cs="微软雅黑"/>
        </w:rPr>
        <w:t xml:space="preserve">3 </w:t>
      </w:r>
      <w:r>
        <w:rPr>
          <w:rFonts w:hint="eastAsia" w:ascii="微软雅黑" w:hAnsi="微软雅黑" w:eastAsia="微软雅黑" w:cs="微软雅黑"/>
        </w:rPr>
        <w:t>业务流程</w:t>
      </w:r>
      <w:r>
        <w:tab/>
      </w:r>
      <w:r>
        <w:fldChar w:fldCharType="begin"/>
      </w:r>
      <w:r>
        <w:instrText xml:space="preserve"> PAGEREF _Toc13255 \h </w:instrText>
      </w:r>
      <w:r>
        <w:fldChar w:fldCharType="separate"/>
      </w:r>
      <w:r>
        <w:t>11</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_Toc13531 </w:instrText>
      </w:r>
      <w:r>
        <w:rPr>
          <w:rFonts w:hint="eastAsia" w:ascii="微软雅黑" w:hAnsi="微软雅黑" w:eastAsia="微软雅黑" w:cs="微软雅黑"/>
        </w:rPr>
        <w:fldChar w:fldCharType="separate"/>
      </w:r>
      <w:r>
        <w:rPr>
          <w:rFonts w:ascii="微软雅黑" w:hAnsi="微软雅黑" w:eastAsia="微软雅黑" w:cs="微软雅黑"/>
        </w:rPr>
        <w:t xml:space="preserve">3.1 </w:t>
      </w:r>
      <w:r>
        <w:rPr>
          <w:rFonts w:hint="eastAsia" w:ascii="微软雅黑" w:hAnsi="微软雅黑" w:eastAsia="微软雅黑" w:cs="微软雅黑"/>
        </w:rPr>
        <w:t>接口列表</w:t>
      </w:r>
      <w:r>
        <w:tab/>
      </w:r>
      <w:r>
        <w:fldChar w:fldCharType="begin"/>
      </w:r>
      <w:r>
        <w:instrText xml:space="preserve"> PAGEREF _Toc13531 \h </w:instrText>
      </w:r>
      <w:r>
        <w:fldChar w:fldCharType="separate"/>
      </w:r>
      <w:r>
        <w:t>11</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_Toc27033 </w:instrText>
      </w:r>
      <w:r>
        <w:rPr>
          <w:rFonts w:hint="eastAsia" w:ascii="微软雅黑" w:hAnsi="微软雅黑" w:eastAsia="微软雅黑" w:cs="微软雅黑"/>
        </w:rPr>
        <w:fldChar w:fldCharType="separate"/>
      </w:r>
      <w:r>
        <w:rPr>
          <w:rFonts w:ascii="微软雅黑" w:hAnsi="微软雅黑" w:eastAsia="微软雅黑" w:cs="微软雅黑"/>
        </w:rPr>
        <w:t xml:space="preserve">3.2 </w:t>
      </w:r>
      <w:r>
        <w:rPr>
          <w:rFonts w:hint="eastAsia" w:ascii="微软雅黑" w:hAnsi="微软雅黑" w:eastAsia="微软雅黑" w:cs="微软雅黑"/>
        </w:rPr>
        <w:t>接口对接说明</w:t>
      </w:r>
      <w:r>
        <w:tab/>
      </w:r>
      <w:r>
        <w:fldChar w:fldCharType="begin"/>
      </w:r>
      <w:r>
        <w:instrText xml:space="preserve"> PAGEREF _Toc27033 \h </w:instrText>
      </w:r>
      <w:r>
        <w:fldChar w:fldCharType="separate"/>
      </w:r>
      <w:r>
        <w:t>13</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_Toc26337 </w:instrText>
      </w:r>
      <w:r>
        <w:rPr>
          <w:rFonts w:hint="eastAsia" w:ascii="微软雅黑" w:hAnsi="微软雅黑" w:eastAsia="微软雅黑" w:cs="微软雅黑"/>
        </w:rPr>
        <w:fldChar w:fldCharType="separate"/>
      </w:r>
      <w:r>
        <w:rPr>
          <w:rFonts w:ascii="微软雅黑" w:hAnsi="微软雅黑" w:eastAsia="微软雅黑" w:cs="微软雅黑"/>
        </w:rPr>
        <w:t xml:space="preserve">3.2.1 </w:t>
      </w:r>
      <w:r>
        <w:rPr>
          <w:rFonts w:hint="eastAsia" w:ascii="微软雅黑" w:hAnsi="微软雅黑" w:eastAsia="微软雅黑" w:cs="微软雅黑"/>
        </w:rPr>
        <w:t>电子票据开具与冲红</w:t>
      </w:r>
      <w:r>
        <w:tab/>
      </w:r>
      <w:r>
        <w:fldChar w:fldCharType="begin"/>
      </w:r>
      <w:r>
        <w:instrText xml:space="preserve"> PAGEREF _Toc26337 \h </w:instrText>
      </w:r>
      <w:r>
        <w:fldChar w:fldCharType="separate"/>
      </w:r>
      <w:r>
        <w:t>13</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_Toc4659 </w:instrText>
      </w:r>
      <w:r>
        <w:rPr>
          <w:rFonts w:hint="eastAsia" w:ascii="微软雅黑" w:hAnsi="微软雅黑" w:eastAsia="微软雅黑" w:cs="微软雅黑"/>
        </w:rPr>
        <w:fldChar w:fldCharType="separate"/>
      </w:r>
      <w:r>
        <w:rPr>
          <w:rFonts w:ascii="微软雅黑" w:hAnsi="微软雅黑" w:eastAsia="微软雅黑" w:cs="微软雅黑"/>
        </w:rPr>
        <w:t xml:space="preserve">3.2.2 </w:t>
      </w:r>
      <w:r>
        <w:rPr>
          <w:rFonts w:hint="eastAsia" w:ascii="微软雅黑" w:hAnsi="微软雅黑" w:eastAsia="微软雅黑" w:cs="微软雅黑"/>
        </w:rPr>
        <w:t>电子票据换开与数据核对</w:t>
      </w:r>
      <w:r>
        <w:tab/>
      </w:r>
      <w:r>
        <w:fldChar w:fldCharType="begin"/>
      </w:r>
      <w:r>
        <w:instrText xml:space="preserve"> PAGEREF _Toc4659 \h </w:instrText>
      </w:r>
      <w:r>
        <w:fldChar w:fldCharType="separate"/>
      </w:r>
      <w:r>
        <w:t>13</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_Toc1453 </w:instrText>
      </w:r>
      <w:r>
        <w:rPr>
          <w:rFonts w:hint="eastAsia" w:ascii="微软雅黑" w:hAnsi="微软雅黑" w:eastAsia="微软雅黑" w:cs="微软雅黑"/>
        </w:rPr>
        <w:fldChar w:fldCharType="separate"/>
      </w:r>
      <w:r>
        <w:rPr>
          <w:rFonts w:ascii="微软雅黑" w:hAnsi="微软雅黑" w:eastAsia="微软雅黑" w:cs="微软雅黑"/>
        </w:rPr>
        <w:t xml:space="preserve">3.2.3 </w:t>
      </w:r>
      <w:r>
        <w:rPr>
          <w:rFonts w:hint="eastAsia" w:ascii="微软雅黑" w:hAnsi="微软雅黑" w:eastAsia="微软雅黑" w:cs="微软雅黑"/>
        </w:rPr>
        <w:t>电子票据查询与库存信息</w:t>
      </w:r>
      <w:r>
        <w:tab/>
      </w:r>
      <w:r>
        <w:fldChar w:fldCharType="begin"/>
      </w:r>
      <w:r>
        <w:instrText xml:space="preserve"> PAGEREF _Toc1453 \h </w:instrText>
      </w:r>
      <w:r>
        <w:fldChar w:fldCharType="separate"/>
      </w:r>
      <w:r>
        <w:t>13</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_Toc28193 </w:instrText>
      </w:r>
      <w:r>
        <w:rPr>
          <w:rFonts w:hint="eastAsia" w:ascii="微软雅黑" w:hAnsi="微软雅黑" w:eastAsia="微软雅黑" w:cs="微软雅黑"/>
        </w:rPr>
        <w:fldChar w:fldCharType="separate"/>
      </w:r>
      <w:r>
        <w:rPr>
          <w:rFonts w:ascii="微软雅黑" w:hAnsi="微软雅黑" w:eastAsia="微软雅黑" w:cs="微软雅黑"/>
        </w:rPr>
        <w:t xml:space="preserve">4 </w:t>
      </w:r>
      <w:r>
        <w:rPr>
          <w:rFonts w:hint="eastAsia" w:ascii="微软雅黑" w:hAnsi="微软雅黑" w:eastAsia="微软雅黑" w:cs="微软雅黑"/>
        </w:rPr>
        <w:t>接口描述</w:t>
      </w:r>
      <w:r>
        <w:tab/>
      </w:r>
      <w:r>
        <w:fldChar w:fldCharType="begin"/>
      </w:r>
      <w:r>
        <w:instrText xml:space="preserve"> PAGEREF _Toc28193 \h </w:instrText>
      </w:r>
      <w:r>
        <w:fldChar w:fldCharType="separate"/>
      </w:r>
      <w:r>
        <w:t>14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_Toc17036 </w:instrText>
      </w:r>
      <w:r>
        <w:rPr>
          <w:rFonts w:hint="eastAsia" w:ascii="微软雅黑" w:hAnsi="微软雅黑" w:eastAsia="微软雅黑" w:cs="微软雅黑"/>
        </w:rPr>
        <w:fldChar w:fldCharType="separate"/>
      </w:r>
      <w:r>
        <w:rPr>
          <w:rFonts w:ascii="微软雅黑" w:hAnsi="微软雅黑" w:eastAsia="微软雅黑" w:cs="微软雅黑"/>
        </w:rPr>
        <w:t xml:space="preserve">4.1 </w:t>
      </w:r>
      <w:r>
        <w:rPr>
          <w:rFonts w:hint="eastAsia" w:ascii="微软雅黑" w:hAnsi="微软雅黑" w:eastAsia="微软雅黑" w:cs="微软雅黑"/>
        </w:rPr>
        <w:t>电子票据</w:t>
      </w:r>
      <w:r>
        <w:tab/>
      </w:r>
      <w:r>
        <w:fldChar w:fldCharType="begin"/>
      </w:r>
      <w:r>
        <w:instrText xml:space="preserve"> PAGEREF _Toc17036 \h </w:instrText>
      </w:r>
      <w:r>
        <w:fldChar w:fldCharType="separate"/>
      </w:r>
      <w:r>
        <w:t>14</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_Toc22692 </w:instrText>
      </w:r>
      <w:r>
        <w:rPr>
          <w:rFonts w:hint="eastAsia" w:ascii="微软雅黑" w:hAnsi="微软雅黑" w:eastAsia="微软雅黑" w:cs="微软雅黑"/>
        </w:rPr>
        <w:fldChar w:fldCharType="separate"/>
      </w:r>
      <w:r>
        <w:rPr>
          <w:rFonts w:ascii="微软雅黑" w:hAnsi="微软雅黑" w:eastAsia="微软雅黑" w:cs="微软雅黑"/>
        </w:rPr>
        <w:t xml:space="preserve">4.1.1 </w:t>
      </w:r>
      <w:r>
        <w:rPr>
          <w:rFonts w:hint="eastAsia" w:ascii="微软雅黑" w:hAnsi="微软雅黑" w:eastAsia="微软雅黑" w:cs="微软雅黑"/>
        </w:rPr>
        <w:t>电子票据开具接口</w:t>
      </w:r>
      <w:r>
        <w:tab/>
      </w:r>
      <w:r>
        <w:fldChar w:fldCharType="begin"/>
      </w:r>
      <w:r>
        <w:instrText xml:space="preserve"> PAGEREF _Toc22692 \h </w:instrText>
      </w:r>
      <w:r>
        <w:fldChar w:fldCharType="separate"/>
      </w:r>
      <w:r>
        <w:t>14</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_Toc26175 </w:instrText>
      </w:r>
      <w:r>
        <w:rPr>
          <w:rFonts w:hint="eastAsia" w:ascii="微软雅黑" w:hAnsi="微软雅黑" w:eastAsia="微软雅黑" w:cs="微软雅黑"/>
        </w:rPr>
        <w:fldChar w:fldCharType="separate"/>
      </w:r>
      <w:r>
        <w:rPr>
          <w:rFonts w:ascii="微软雅黑" w:hAnsi="微软雅黑" w:eastAsia="微软雅黑" w:cs="微软雅黑"/>
        </w:rPr>
        <w:t xml:space="preserve">4.1.2 </w:t>
      </w:r>
      <w:r>
        <w:rPr>
          <w:rFonts w:hint="eastAsia" w:ascii="微软雅黑" w:hAnsi="微软雅黑" w:eastAsia="微软雅黑" w:cs="微软雅黑"/>
        </w:rPr>
        <w:t>批量电子票据开具接口</w:t>
      </w:r>
      <w:r>
        <w:tab/>
      </w:r>
      <w:r>
        <w:fldChar w:fldCharType="begin"/>
      </w:r>
      <w:r>
        <w:instrText xml:space="preserve"> PAGEREF _Toc26175 \h </w:instrText>
      </w:r>
      <w:r>
        <w:fldChar w:fldCharType="separate"/>
      </w:r>
      <w:r>
        <w:t>40</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_Toc28663 </w:instrText>
      </w:r>
      <w:r>
        <w:rPr>
          <w:rFonts w:hint="eastAsia" w:ascii="微软雅黑" w:hAnsi="微软雅黑" w:eastAsia="微软雅黑" w:cs="微软雅黑"/>
        </w:rPr>
        <w:fldChar w:fldCharType="separate"/>
      </w:r>
      <w:r>
        <w:rPr>
          <w:rFonts w:ascii="微软雅黑" w:hAnsi="微软雅黑" w:eastAsia="微软雅黑" w:cs="微软雅黑"/>
        </w:rPr>
        <w:t xml:space="preserve">4.1.3 </w:t>
      </w:r>
      <w:r>
        <w:rPr>
          <w:rFonts w:hint="eastAsia" w:ascii="微软雅黑" w:hAnsi="微软雅黑" w:eastAsia="微软雅黑" w:cs="微软雅黑"/>
        </w:rPr>
        <w:t>批量医疗电子票据开具结果查询接口</w:t>
      </w:r>
      <w:r>
        <w:tab/>
      </w:r>
      <w:r>
        <w:fldChar w:fldCharType="begin"/>
      </w:r>
      <w:r>
        <w:instrText xml:space="preserve"> PAGEREF _Toc28663 \h </w:instrText>
      </w:r>
      <w:r>
        <w:fldChar w:fldCharType="separate"/>
      </w:r>
      <w:r>
        <w:t>42</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_Toc5287 </w:instrText>
      </w:r>
      <w:r>
        <w:rPr>
          <w:rFonts w:hint="eastAsia" w:ascii="微软雅黑" w:hAnsi="微软雅黑" w:eastAsia="微软雅黑" w:cs="微软雅黑"/>
        </w:rPr>
        <w:fldChar w:fldCharType="separate"/>
      </w:r>
      <w:r>
        <w:rPr>
          <w:rFonts w:ascii="微软雅黑" w:hAnsi="微软雅黑" w:eastAsia="微软雅黑" w:cs="微软雅黑"/>
        </w:rPr>
        <w:t xml:space="preserve">4.1.4 </w:t>
      </w:r>
      <w:r>
        <w:rPr>
          <w:rFonts w:hint="eastAsia" w:ascii="微软雅黑" w:hAnsi="微软雅黑" w:eastAsia="微软雅黑" w:cs="微软雅黑"/>
        </w:rPr>
        <w:t>电子票据冲红接口</w:t>
      </w:r>
      <w:r>
        <w:tab/>
      </w:r>
      <w:r>
        <w:fldChar w:fldCharType="begin"/>
      </w:r>
      <w:r>
        <w:instrText xml:space="preserve"> PAGEREF _Toc5287 \h </w:instrText>
      </w:r>
      <w:r>
        <w:fldChar w:fldCharType="separate"/>
      </w:r>
      <w:r>
        <w:t>44</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_Toc5308 </w:instrText>
      </w:r>
      <w:r>
        <w:rPr>
          <w:rFonts w:hint="eastAsia" w:ascii="微软雅黑" w:hAnsi="微软雅黑" w:eastAsia="微软雅黑" w:cs="微软雅黑"/>
        </w:rPr>
        <w:fldChar w:fldCharType="separate"/>
      </w:r>
      <w:r>
        <w:rPr>
          <w:rFonts w:ascii="微软雅黑" w:hAnsi="微软雅黑" w:eastAsia="微软雅黑" w:cs="微软雅黑"/>
        </w:rPr>
        <w:t xml:space="preserve">4.1.5 </w:t>
      </w:r>
      <w:r>
        <w:rPr>
          <w:rFonts w:hint="eastAsia" w:ascii="微软雅黑" w:hAnsi="微软雅黑" w:eastAsia="微软雅黑" w:cs="微软雅黑"/>
        </w:rPr>
        <w:t>根据业务流水号获取开票情况接口</w:t>
      </w:r>
      <w:r>
        <w:tab/>
      </w:r>
      <w:r>
        <w:fldChar w:fldCharType="begin"/>
      </w:r>
      <w:r>
        <w:instrText xml:space="preserve"> PAGEREF _Toc5308 \h </w:instrText>
      </w:r>
      <w:r>
        <w:fldChar w:fldCharType="separate"/>
      </w:r>
      <w:r>
        <w:t>46</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_Toc28416 </w:instrText>
      </w:r>
      <w:r>
        <w:rPr>
          <w:rFonts w:hint="eastAsia" w:ascii="微软雅黑" w:hAnsi="微软雅黑" w:eastAsia="微软雅黑" w:cs="微软雅黑"/>
        </w:rPr>
        <w:fldChar w:fldCharType="separate"/>
      </w:r>
      <w:r>
        <w:rPr>
          <w:rFonts w:ascii="微软雅黑" w:hAnsi="微软雅黑" w:eastAsia="微软雅黑" w:cs="微软雅黑"/>
        </w:rPr>
        <w:t xml:space="preserve">4.1.6 </w:t>
      </w:r>
      <w:r>
        <w:rPr>
          <w:rFonts w:hint="eastAsia" w:ascii="微软雅黑" w:hAnsi="微软雅黑" w:eastAsia="微软雅黑" w:cs="微软雅黑"/>
        </w:rPr>
        <w:t>根据电子票信息获取电子票据状态接口</w:t>
      </w:r>
      <w:r>
        <w:tab/>
      </w:r>
      <w:r>
        <w:fldChar w:fldCharType="begin"/>
      </w:r>
      <w:r>
        <w:instrText xml:space="preserve"> PAGEREF _Toc28416 \h </w:instrText>
      </w:r>
      <w:r>
        <w:fldChar w:fldCharType="separate"/>
      </w:r>
      <w:r>
        <w:t>48</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_Toc8668 </w:instrText>
      </w:r>
      <w:r>
        <w:rPr>
          <w:rFonts w:hint="eastAsia" w:ascii="微软雅黑" w:hAnsi="微软雅黑" w:eastAsia="微软雅黑" w:cs="微软雅黑"/>
        </w:rPr>
        <w:fldChar w:fldCharType="separate"/>
      </w:r>
      <w:r>
        <w:rPr>
          <w:rFonts w:ascii="微软雅黑" w:hAnsi="微软雅黑" w:eastAsia="微软雅黑" w:cs="微软雅黑"/>
        </w:rPr>
        <w:t xml:space="preserve">4.2 </w:t>
      </w:r>
      <w:r>
        <w:rPr>
          <w:rFonts w:hint="eastAsia" w:ascii="微软雅黑" w:hAnsi="微软雅黑" w:eastAsia="微软雅黑" w:cs="微软雅黑"/>
        </w:rPr>
        <w:t>打印及通知</w:t>
      </w:r>
      <w:r>
        <w:tab/>
      </w:r>
      <w:r>
        <w:fldChar w:fldCharType="begin"/>
      </w:r>
      <w:r>
        <w:instrText xml:space="preserve"> PAGEREF _Toc8668 \h </w:instrText>
      </w:r>
      <w:r>
        <w:fldChar w:fldCharType="separate"/>
      </w:r>
      <w:r>
        <w:t>51</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_Toc4288 </w:instrText>
      </w:r>
      <w:r>
        <w:rPr>
          <w:rFonts w:hint="eastAsia" w:ascii="微软雅黑" w:hAnsi="微软雅黑" w:eastAsia="微软雅黑" w:cs="微软雅黑"/>
        </w:rPr>
        <w:fldChar w:fldCharType="separate"/>
      </w:r>
      <w:r>
        <w:rPr>
          <w:rFonts w:ascii="微软雅黑" w:hAnsi="微软雅黑" w:eastAsia="微软雅黑" w:cs="微软雅黑"/>
        </w:rPr>
        <w:t xml:space="preserve">4.2.1 </w:t>
      </w:r>
      <w:r>
        <w:rPr>
          <w:rFonts w:hint="eastAsia" w:ascii="微软雅黑" w:hAnsi="微软雅黑" w:eastAsia="微软雅黑" w:cs="微软雅黑"/>
        </w:rPr>
        <w:t>打印电子票据接口</w:t>
      </w:r>
      <w:r>
        <w:tab/>
      </w:r>
      <w:r>
        <w:fldChar w:fldCharType="begin"/>
      </w:r>
      <w:r>
        <w:instrText xml:space="preserve"> PAGEREF _Toc4288 \h </w:instrText>
      </w:r>
      <w:r>
        <w:fldChar w:fldCharType="separate"/>
      </w:r>
      <w:r>
        <w:t>51</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_Toc2144 </w:instrText>
      </w:r>
      <w:r>
        <w:rPr>
          <w:rFonts w:hint="eastAsia" w:ascii="微软雅黑" w:hAnsi="微软雅黑" w:eastAsia="微软雅黑" w:cs="微软雅黑"/>
        </w:rPr>
        <w:fldChar w:fldCharType="separate"/>
      </w:r>
      <w:r>
        <w:rPr>
          <w:rFonts w:ascii="微软雅黑" w:hAnsi="微软雅黑" w:eastAsia="微软雅黑" w:cs="微软雅黑"/>
        </w:rPr>
        <w:t xml:space="preserve">4.2.2 </w:t>
      </w:r>
      <w:r>
        <w:rPr>
          <w:rFonts w:hint="eastAsia" w:ascii="微软雅黑" w:hAnsi="微软雅黑" w:eastAsia="微软雅黑" w:cs="微软雅黑"/>
        </w:rPr>
        <w:t>获取电子票据清单总页数接口</w:t>
      </w:r>
      <w:r>
        <w:tab/>
      </w:r>
      <w:r>
        <w:fldChar w:fldCharType="begin"/>
      </w:r>
      <w:r>
        <w:instrText xml:space="preserve"> PAGEREF _Toc2144 \h </w:instrText>
      </w:r>
      <w:r>
        <w:fldChar w:fldCharType="separate"/>
      </w:r>
      <w:r>
        <w:t>52</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_Toc1166 </w:instrText>
      </w:r>
      <w:r>
        <w:rPr>
          <w:rFonts w:hint="eastAsia" w:ascii="微软雅黑" w:hAnsi="微软雅黑" w:eastAsia="微软雅黑" w:cs="微软雅黑"/>
        </w:rPr>
        <w:fldChar w:fldCharType="separate"/>
      </w:r>
      <w:r>
        <w:rPr>
          <w:rFonts w:ascii="微软雅黑" w:hAnsi="微软雅黑" w:eastAsia="微软雅黑" w:cs="微软雅黑"/>
        </w:rPr>
        <w:t xml:space="preserve">4.2.3 </w:t>
      </w:r>
      <w:r>
        <w:rPr>
          <w:rFonts w:hint="eastAsia" w:ascii="微软雅黑" w:hAnsi="微软雅黑" w:eastAsia="微软雅黑" w:cs="微软雅黑"/>
        </w:rPr>
        <w:t>打印电子票据清单接口</w:t>
      </w:r>
      <w:r>
        <w:tab/>
      </w:r>
      <w:r>
        <w:fldChar w:fldCharType="begin"/>
      </w:r>
      <w:r>
        <w:instrText xml:space="preserve"> PAGEREF _Toc1166 \h </w:instrText>
      </w:r>
      <w:r>
        <w:fldChar w:fldCharType="separate"/>
      </w:r>
      <w:r>
        <w:t>53</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_Toc5896 </w:instrText>
      </w:r>
      <w:r>
        <w:rPr>
          <w:rFonts w:hint="eastAsia" w:ascii="微软雅黑" w:hAnsi="微软雅黑" w:eastAsia="微软雅黑" w:cs="微软雅黑"/>
        </w:rPr>
        <w:fldChar w:fldCharType="separate"/>
      </w:r>
      <w:r>
        <w:rPr>
          <w:rFonts w:hint="eastAsia" w:ascii="微软雅黑" w:hAnsi="微软雅黑" w:eastAsia="微软雅黑" w:cs="微软雅黑"/>
        </w:rPr>
        <w:t>4.2.4 电子票打印反馈接口</w:t>
      </w:r>
      <w:r>
        <w:tab/>
      </w:r>
      <w:r>
        <w:fldChar w:fldCharType="begin"/>
      </w:r>
      <w:r>
        <w:instrText xml:space="preserve"> PAGEREF _Toc5896 \h </w:instrText>
      </w:r>
      <w:r>
        <w:fldChar w:fldCharType="separate"/>
      </w:r>
      <w:r>
        <w:t>54</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_Toc31227 </w:instrText>
      </w:r>
      <w:r>
        <w:rPr>
          <w:rFonts w:hint="eastAsia" w:ascii="微软雅黑" w:hAnsi="微软雅黑" w:eastAsia="微软雅黑" w:cs="微软雅黑"/>
        </w:rPr>
        <w:fldChar w:fldCharType="separate"/>
      </w:r>
      <w:r>
        <w:rPr>
          <w:rFonts w:ascii="微软雅黑" w:hAnsi="微软雅黑" w:eastAsia="微软雅黑" w:cs="微软雅黑"/>
        </w:rPr>
        <w:t xml:space="preserve">4.3 </w:t>
      </w:r>
      <w:r>
        <w:rPr>
          <w:rFonts w:hint="eastAsia" w:ascii="微软雅黑" w:hAnsi="微软雅黑" w:eastAsia="微软雅黑" w:cs="微软雅黑"/>
        </w:rPr>
        <w:t>财务核对</w:t>
      </w:r>
      <w:r>
        <w:tab/>
      </w:r>
      <w:r>
        <w:fldChar w:fldCharType="begin"/>
      </w:r>
      <w:r>
        <w:instrText xml:space="preserve"> PAGEREF _Toc31227 \h </w:instrText>
      </w:r>
      <w:r>
        <w:fldChar w:fldCharType="separate"/>
      </w:r>
      <w:r>
        <w:t>55</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_Toc13232 </w:instrText>
      </w:r>
      <w:r>
        <w:rPr>
          <w:rFonts w:hint="eastAsia" w:ascii="微软雅黑" w:hAnsi="微软雅黑" w:eastAsia="微软雅黑" w:cs="微软雅黑"/>
        </w:rPr>
        <w:fldChar w:fldCharType="separate"/>
      </w:r>
      <w:r>
        <w:rPr>
          <w:rFonts w:ascii="微软雅黑" w:hAnsi="微软雅黑" w:eastAsia="微软雅黑" w:cs="微软雅黑"/>
        </w:rPr>
        <w:t xml:space="preserve">4.3.1 </w:t>
      </w:r>
      <w:r>
        <w:rPr>
          <w:rFonts w:hint="eastAsia" w:ascii="微软雅黑" w:hAnsi="微软雅黑" w:eastAsia="微软雅黑" w:cs="微软雅黑"/>
        </w:rPr>
        <w:t>数据核对</w:t>
      </w:r>
      <w:r>
        <w:tab/>
      </w:r>
      <w:r>
        <w:fldChar w:fldCharType="begin"/>
      </w:r>
      <w:r>
        <w:instrText xml:space="preserve"> PAGEREF _Toc13232 \h </w:instrText>
      </w:r>
      <w:r>
        <w:fldChar w:fldCharType="separate"/>
      </w:r>
      <w:r>
        <w:t>55</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_Toc2519 </w:instrText>
      </w:r>
      <w:r>
        <w:rPr>
          <w:rFonts w:hint="eastAsia" w:ascii="微软雅黑" w:hAnsi="微软雅黑" w:eastAsia="微软雅黑" w:cs="微软雅黑"/>
        </w:rPr>
        <w:fldChar w:fldCharType="separate"/>
      </w:r>
      <w:r>
        <w:rPr>
          <w:rFonts w:ascii="微软雅黑" w:hAnsi="微软雅黑" w:eastAsia="微软雅黑" w:cs="微软雅黑"/>
        </w:rPr>
        <w:t xml:space="preserve">4.4 </w:t>
      </w:r>
      <w:r>
        <w:rPr>
          <w:rFonts w:hint="eastAsia" w:ascii="微软雅黑" w:hAnsi="微软雅黑" w:eastAsia="微软雅黑" w:cs="微软雅黑"/>
        </w:rPr>
        <w:t>其它</w:t>
      </w:r>
      <w:r>
        <w:tab/>
      </w:r>
      <w:r>
        <w:fldChar w:fldCharType="begin"/>
      </w:r>
      <w:r>
        <w:instrText xml:space="preserve"> PAGEREF _Toc2519 \h </w:instrText>
      </w:r>
      <w:r>
        <w:fldChar w:fldCharType="separate"/>
      </w:r>
      <w:r>
        <w:t>57</w:t>
      </w:r>
      <w:r>
        <w:fldChar w:fldCharType="end"/>
      </w:r>
      <w:r>
        <w:rPr>
          <w:rFonts w:hint="eastAsia" w:ascii="微软雅黑" w:hAnsi="微软雅黑" w:eastAsia="微软雅黑" w:cs="微软雅黑"/>
        </w:rPr>
        <w:fldChar w:fldCharType="end"/>
      </w:r>
    </w:p>
    <w:p>
      <w:pPr>
        <w:pStyle w:val="21"/>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_Toc15552 </w:instrText>
      </w:r>
      <w:r>
        <w:rPr>
          <w:rFonts w:hint="eastAsia" w:ascii="微软雅黑" w:hAnsi="微软雅黑" w:eastAsia="微软雅黑" w:cs="微软雅黑"/>
        </w:rPr>
        <w:fldChar w:fldCharType="separate"/>
      </w:r>
      <w:r>
        <w:rPr>
          <w:rFonts w:ascii="微软雅黑" w:hAnsi="微软雅黑" w:eastAsia="微软雅黑" w:cs="微软雅黑"/>
        </w:rPr>
        <w:t xml:space="preserve">4.4.1 </w:t>
      </w:r>
      <w:r>
        <w:rPr>
          <w:rFonts w:hint="eastAsia" w:ascii="微软雅黑" w:hAnsi="微软雅黑" w:eastAsia="微软雅黑" w:cs="微软雅黑"/>
        </w:rPr>
        <w:t>服务端连接测试接口</w:t>
      </w:r>
      <w:r>
        <w:tab/>
      </w:r>
      <w:r>
        <w:fldChar w:fldCharType="begin"/>
      </w:r>
      <w:r>
        <w:instrText xml:space="preserve"> PAGEREF _Toc15552 \h </w:instrText>
      </w:r>
      <w:r>
        <w:fldChar w:fldCharType="separate"/>
      </w:r>
      <w:r>
        <w:t>57</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_Toc1625 </w:instrText>
      </w:r>
      <w:r>
        <w:rPr>
          <w:rFonts w:hint="eastAsia" w:ascii="微软雅黑" w:hAnsi="微软雅黑" w:eastAsia="微软雅黑" w:cs="微软雅黑"/>
        </w:rPr>
        <w:fldChar w:fldCharType="separate"/>
      </w:r>
      <w:r>
        <w:rPr>
          <w:rFonts w:ascii="微软雅黑" w:hAnsi="微软雅黑" w:eastAsia="微软雅黑" w:cs="微软雅黑"/>
        </w:rPr>
        <w:t xml:space="preserve">5 </w:t>
      </w:r>
      <w:r>
        <w:rPr>
          <w:rFonts w:hint="eastAsia" w:ascii="微软雅黑" w:hAnsi="微软雅黑" w:eastAsia="微软雅黑" w:cs="微软雅黑"/>
        </w:rPr>
        <w:t>调用步骤说明</w:t>
      </w:r>
      <w:r>
        <w:tab/>
      </w:r>
      <w:r>
        <w:fldChar w:fldCharType="begin"/>
      </w:r>
      <w:r>
        <w:instrText xml:space="preserve"> PAGEREF _Toc1625 \h </w:instrText>
      </w:r>
      <w:r>
        <w:fldChar w:fldCharType="separate"/>
      </w:r>
      <w:r>
        <w:t>58</w:t>
      </w:r>
      <w:r>
        <w:fldChar w:fldCharType="end"/>
      </w:r>
      <w:r>
        <w:rPr>
          <w:rFonts w:hint="eastAsia" w:ascii="微软雅黑" w:hAnsi="微软雅黑" w:eastAsia="微软雅黑" w:cs="微软雅黑"/>
        </w:rPr>
        <w:fldChar w:fldCharType="end"/>
      </w:r>
    </w:p>
    <w:p>
      <w:pPr>
        <w:pStyle w:val="29"/>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_Toc15164 </w:instrText>
      </w:r>
      <w:r>
        <w:rPr>
          <w:rFonts w:hint="eastAsia" w:ascii="微软雅黑" w:hAnsi="微软雅黑" w:eastAsia="微软雅黑" w:cs="微软雅黑"/>
        </w:rPr>
        <w:fldChar w:fldCharType="separate"/>
      </w:r>
      <w:r>
        <w:rPr>
          <w:rFonts w:ascii="微软雅黑" w:hAnsi="微软雅黑" w:eastAsia="微软雅黑" w:cs="微软雅黑"/>
        </w:rPr>
        <w:t xml:space="preserve">5.1 </w:t>
      </w:r>
      <w:r>
        <w:rPr>
          <w:rFonts w:hint="eastAsia" w:ascii="微软雅黑" w:hAnsi="微软雅黑" w:eastAsia="微软雅黑" w:cs="微软雅黑"/>
        </w:rPr>
        <w:t>示例</w:t>
      </w:r>
      <w:r>
        <w:tab/>
      </w:r>
      <w:r>
        <w:fldChar w:fldCharType="begin"/>
      </w:r>
      <w:r>
        <w:instrText xml:space="preserve"> PAGEREF _Toc15164 \h </w:instrText>
      </w:r>
      <w:r>
        <w:fldChar w:fldCharType="separate"/>
      </w:r>
      <w:r>
        <w:t>58</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_Toc32126 </w:instrText>
      </w:r>
      <w:r>
        <w:rPr>
          <w:rFonts w:hint="eastAsia" w:ascii="微软雅黑" w:hAnsi="微软雅黑" w:eastAsia="微软雅黑" w:cs="微软雅黑"/>
        </w:rPr>
        <w:fldChar w:fldCharType="separate"/>
      </w:r>
      <w:r>
        <w:rPr>
          <w:rFonts w:hint="eastAsia" w:ascii="微软雅黑" w:hAnsi="微软雅黑" w:eastAsia="微软雅黑" w:cs="微软雅黑"/>
        </w:rPr>
        <w:t>附录1：JSON说明</w:t>
      </w:r>
      <w:r>
        <w:tab/>
      </w:r>
      <w:r>
        <w:fldChar w:fldCharType="begin"/>
      </w:r>
      <w:r>
        <w:instrText xml:space="preserve"> PAGEREF _Toc32126 \h </w:instrText>
      </w:r>
      <w:r>
        <w:fldChar w:fldCharType="separate"/>
      </w:r>
      <w:r>
        <w:t>58</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_Toc4651 </w:instrText>
      </w:r>
      <w:r>
        <w:rPr>
          <w:rFonts w:hint="eastAsia" w:ascii="微软雅黑" w:hAnsi="微软雅黑" w:eastAsia="微软雅黑" w:cs="微软雅黑"/>
        </w:rPr>
        <w:fldChar w:fldCharType="separate"/>
      </w:r>
      <w:r>
        <w:rPr>
          <w:rFonts w:hint="eastAsia" w:ascii="微软雅黑" w:hAnsi="微软雅黑" w:eastAsia="微软雅黑" w:cs="微软雅黑"/>
        </w:rPr>
        <w:t>附录2：数据格式</w:t>
      </w:r>
      <w:r>
        <w:tab/>
      </w:r>
      <w:r>
        <w:fldChar w:fldCharType="begin"/>
      </w:r>
      <w:r>
        <w:instrText xml:space="preserve"> PAGEREF _Toc4651 \h </w:instrText>
      </w:r>
      <w:r>
        <w:fldChar w:fldCharType="separate"/>
      </w:r>
      <w:r>
        <w:t>61</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_Toc1850 </w:instrText>
      </w:r>
      <w:r>
        <w:rPr>
          <w:rFonts w:hint="eastAsia" w:ascii="微软雅黑" w:hAnsi="微软雅黑" w:eastAsia="微软雅黑" w:cs="微软雅黑"/>
        </w:rPr>
        <w:fldChar w:fldCharType="separate"/>
      </w:r>
      <w:r>
        <w:rPr>
          <w:rFonts w:hint="eastAsia" w:ascii="微软雅黑" w:hAnsi="微软雅黑" w:eastAsia="微软雅黑" w:cs="微软雅黑"/>
        </w:rPr>
        <w:t>附录3：卡类型与证件类型列表</w:t>
      </w:r>
      <w:r>
        <w:tab/>
      </w:r>
      <w:r>
        <w:fldChar w:fldCharType="begin"/>
      </w:r>
      <w:r>
        <w:instrText xml:space="preserve"> PAGEREF _Toc1850 \h </w:instrText>
      </w:r>
      <w:r>
        <w:fldChar w:fldCharType="separate"/>
      </w:r>
      <w:r>
        <w:t>61</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_Toc32372 </w:instrText>
      </w:r>
      <w:r>
        <w:rPr>
          <w:rFonts w:hint="eastAsia" w:ascii="微软雅黑" w:hAnsi="微软雅黑" w:eastAsia="微软雅黑" w:cs="微软雅黑"/>
        </w:rPr>
        <w:fldChar w:fldCharType="separate"/>
      </w:r>
      <w:r>
        <w:rPr>
          <w:rFonts w:hint="eastAsia" w:ascii="微软雅黑" w:hAnsi="微软雅黑" w:eastAsia="微软雅黑" w:cs="微软雅黑"/>
        </w:rPr>
        <w:t>附录4：</w:t>
      </w:r>
      <w:r>
        <w:rPr>
          <w:rFonts w:hint="eastAsia" w:ascii="微软雅黑" w:hAnsi="微软雅黑" w:eastAsia="微软雅黑" w:cs="微软雅黑"/>
          <w:szCs w:val="21"/>
        </w:rPr>
        <w:t>交费渠道</w:t>
      </w:r>
      <w:r>
        <w:rPr>
          <w:rFonts w:hint="eastAsia" w:ascii="微软雅黑" w:hAnsi="微软雅黑" w:eastAsia="微软雅黑" w:cs="微软雅黑"/>
        </w:rPr>
        <w:t>列表</w:t>
      </w:r>
      <w:r>
        <w:tab/>
      </w:r>
      <w:r>
        <w:fldChar w:fldCharType="begin"/>
      </w:r>
      <w:r>
        <w:instrText xml:space="preserve"> PAGEREF _Toc32372 \h </w:instrText>
      </w:r>
      <w:r>
        <w:fldChar w:fldCharType="separate"/>
      </w:r>
      <w:r>
        <w:t>63</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_Toc1664 </w:instrText>
      </w:r>
      <w:r>
        <w:rPr>
          <w:rFonts w:hint="eastAsia" w:ascii="微软雅黑" w:hAnsi="微软雅黑" w:eastAsia="微软雅黑" w:cs="微软雅黑"/>
        </w:rPr>
        <w:fldChar w:fldCharType="separate"/>
      </w:r>
      <w:r>
        <w:rPr>
          <w:rFonts w:hint="eastAsia" w:ascii="微软雅黑" w:hAnsi="微软雅黑" w:eastAsia="微软雅黑" w:cs="微软雅黑"/>
          <w:szCs w:val="21"/>
        </w:rPr>
        <w:t>附录5：业务标识</w:t>
      </w:r>
      <w:r>
        <w:rPr>
          <w:rFonts w:hint="eastAsia" w:ascii="微软雅黑" w:hAnsi="微软雅黑" w:eastAsia="微软雅黑" w:cs="微软雅黑"/>
        </w:rPr>
        <w:t>列表</w:t>
      </w:r>
      <w:r>
        <w:tab/>
      </w:r>
      <w:r>
        <w:fldChar w:fldCharType="begin"/>
      </w:r>
      <w:r>
        <w:instrText xml:space="preserve"> PAGEREF _Toc1664 \h </w:instrText>
      </w:r>
      <w:r>
        <w:fldChar w:fldCharType="separate"/>
      </w:r>
      <w:r>
        <w:t>64</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_Toc4706 </w:instrText>
      </w:r>
      <w:r>
        <w:rPr>
          <w:rFonts w:hint="eastAsia" w:ascii="微软雅黑" w:hAnsi="微软雅黑" w:eastAsia="微软雅黑" w:cs="微软雅黑"/>
        </w:rPr>
        <w:fldChar w:fldCharType="separate"/>
      </w:r>
      <w:r>
        <w:rPr>
          <w:rFonts w:hint="eastAsia" w:ascii="微软雅黑" w:hAnsi="微软雅黑" w:eastAsia="微软雅黑" w:cs="微软雅黑"/>
          <w:szCs w:val="21"/>
        </w:rPr>
        <w:t>附录6：通知类型</w:t>
      </w:r>
      <w:r>
        <w:tab/>
      </w:r>
      <w:r>
        <w:fldChar w:fldCharType="begin"/>
      </w:r>
      <w:r>
        <w:instrText xml:space="preserve"> PAGEREF _Toc4706 \h </w:instrText>
      </w:r>
      <w:r>
        <w:fldChar w:fldCharType="separate"/>
      </w:r>
      <w:r>
        <w:t>65</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_Toc31521 </w:instrText>
      </w:r>
      <w:r>
        <w:rPr>
          <w:rFonts w:hint="eastAsia" w:ascii="微软雅黑" w:hAnsi="微软雅黑" w:eastAsia="微软雅黑" w:cs="微软雅黑"/>
        </w:rPr>
        <w:fldChar w:fldCharType="separate"/>
      </w:r>
      <w:r>
        <w:rPr>
          <w:rFonts w:hint="eastAsia" w:ascii="微软雅黑" w:hAnsi="微软雅黑" w:eastAsia="微软雅黑" w:cs="微软雅黑"/>
          <w:szCs w:val="21"/>
        </w:rPr>
        <w:t>附录7：</w:t>
      </w:r>
      <w:r>
        <w:rPr>
          <w:rFonts w:hint="eastAsia" w:ascii="微软雅黑" w:hAnsi="微软雅黑" w:eastAsia="微软雅黑" w:cs="微软雅黑"/>
        </w:rPr>
        <w:t>医保报销类型列表</w:t>
      </w:r>
      <w:r>
        <w:tab/>
      </w:r>
      <w:r>
        <w:fldChar w:fldCharType="begin"/>
      </w:r>
      <w:r>
        <w:instrText xml:space="preserve"> PAGEREF _Toc31521 \h </w:instrText>
      </w:r>
      <w:r>
        <w:fldChar w:fldCharType="separate"/>
      </w:r>
      <w:r>
        <w:t>65</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_Toc29281 </w:instrText>
      </w:r>
      <w:r>
        <w:rPr>
          <w:rFonts w:hint="eastAsia" w:ascii="微软雅黑" w:hAnsi="微软雅黑" w:eastAsia="微软雅黑" w:cs="微软雅黑"/>
        </w:rPr>
        <w:fldChar w:fldCharType="separate"/>
      </w:r>
      <w:r>
        <w:rPr>
          <w:rFonts w:hint="eastAsia" w:ascii="微软雅黑" w:hAnsi="微软雅黑" w:eastAsia="微软雅黑" w:cs="微软雅黑"/>
          <w:szCs w:val="21"/>
        </w:rPr>
        <w:t>附录8：支付类型编码</w:t>
      </w:r>
      <w:r>
        <w:rPr>
          <w:rFonts w:hint="eastAsia" w:ascii="微软雅黑" w:hAnsi="微软雅黑" w:eastAsia="微软雅黑" w:cs="微软雅黑"/>
        </w:rPr>
        <w:t>列表</w:t>
      </w:r>
      <w:r>
        <w:tab/>
      </w:r>
      <w:r>
        <w:fldChar w:fldCharType="begin"/>
      </w:r>
      <w:r>
        <w:instrText xml:space="preserve"> PAGEREF _Toc29281 \h </w:instrText>
      </w:r>
      <w:r>
        <w:fldChar w:fldCharType="separate"/>
      </w:r>
      <w:r>
        <w:t>65</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_Toc13335 </w:instrText>
      </w:r>
      <w:r>
        <w:rPr>
          <w:rFonts w:hint="eastAsia" w:ascii="微软雅黑" w:hAnsi="微软雅黑" w:eastAsia="微软雅黑" w:cs="微软雅黑"/>
        </w:rPr>
        <w:fldChar w:fldCharType="separate"/>
      </w:r>
      <w:r>
        <w:rPr>
          <w:rFonts w:hint="eastAsia" w:ascii="微软雅黑" w:hAnsi="微软雅黑" w:eastAsia="微软雅黑" w:cs="微软雅黑"/>
        </w:rPr>
        <w:t>附录9：编码对照说明</w:t>
      </w:r>
      <w:r>
        <w:tab/>
      </w:r>
      <w:r>
        <w:fldChar w:fldCharType="begin"/>
      </w:r>
      <w:r>
        <w:instrText xml:space="preserve"> PAGEREF _Toc13335 \h </w:instrText>
      </w:r>
      <w:r>
        <w:fldChar w:fldCharType="separate"/>
      </w:r>
      <w:r>
        <w:t>66</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_Toc1222 </w:instrText>
      </w:r>
      <w:r>
        <w:rPr>
          <w:rFonts w:hint="eastAsia" w:ascii="微软雅黑" w:hAnsi="微软雅黑" w:eastAsia="微软雅黑" w:cs="微软雅黑"/>
        </w:rPr>
        <w:fldChar w:fldCharType="separate"/>
      </w:r>
      <w:r>
        <w:rPr>
          <w:rFonts w:hint="eastAsia" w:ascii="微软雅黑" w:hAnsi="微软雅黑" w:eastAsia="微软雅黑" w:cs="微软雅黑"/>
        </w:rPr>
        <w:t>附录10：返回结果标识列表</w:t>
      </w:r>
      <w:r>
        <w:tab/>
      </w:r>
      <w:r>
        <w:fldChar w:fldCharType="begin"/>
      </w:r>
      <w:r>
        <w:instrText xml:space="preserve"> PAGEREF _Toc1222 \h </w:instrText>
      </w:r>
      <w:r>
        <w:fldChar w:fldCharType="separate"/>
      </w:r>
      <w:r>
        <w:t>66</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_Toc27832 </w:instrText>
      </w:r>
      <w:r>
        <w:rPr>
          <w:rFonts w:hint="eastAsia" w:ascii="微软雅黑" w:hAnsi="微软雅黑" w:eastAsia="微软雅黑" w:cs="微软雅黑"/>
        </w:rPr>
        <w:fldChar w:fldCharType="separate"/>
      </w:r>
      <w:r>
        <w:rPr>
          <w:rFonts w:hint="eastAsia" w:ascii="微软雅黑" w:hAnsi="微软雅黑" w:eastAsia="微软雅黑" w:cs="微软雅黑"/>
        </w:rPr>
        <w:t>附录11：请求参数示例说明</w:t>
      </w:r>
      <w:r>
        <w:tab/>
      </w:r>
      <w:r>
        <w:fldChar w:fldCharType="begin"/>
      </w:r>
      <w:r>
        <w:instrText xml:space="preserve"> PAGEREF _Toc27832 \h </w:instrText>
      </w:r>
      <w:r>
        <w:fldChar w:fldCharType="separate"/>
      </w:r>
      <w:r>
        <w:t>66</w:t>
      </w:r>
      <w:r>
        <w:fldChar w:fldCharType="end"/>
      </w:r>
      <w:r>
        <w:rPr>
          <w:rFonts w:hint="eastAsia" w:ascii="微软雅黑" w:hAnsi="微软雅黑" w:eastAsia="微软雅黑" w:cs="微软雅黑"/>
        </w:rPr>
        <w:fldChar w:fldCharType="end"/>
      </w:r>
    </w:p>
    <w:p>
      <w:pPr>
        <w:pStyle w:val="25"/>
        <w:tabs>
          <w:tab w:val="right" w:leader="dot" w:pos="8306"/>
        </w:tabs>
      </w:pPr>
      <w:r>
        <w:rPr>
          <w:rFonts w:hint="eastAsia" w:ascii="微软雅黑" w:hAnsi="微软雅黑" w:eastAsia="微软雅黑" w:cs="微软雅黑"/>
        </w:rPr>
        <w:fldChar w:fldCharType="begin"/>
      </w:r>
      <w:r>
        <w:rPr>
          <w:rFonts w:hint="eastAsia" w:ascii="微软雅黑" w:hAnsi="微软雅黑" w:eastAsia="微软雅黑" w:cs="微软雅黑"/>
        </w:rPr>
        <w:instrText xml:space="preserve"> HYPERLINK \l _Toc5267 </w:instrText>
      </w:r>
      <w:r>
        <w:rPr>
          <w:rFonts w:hint="eastAsia" w:ascii="微软雅黑" w:hAnsi="微软雅黑" w:eastAsia="微软雅黑" w:cs="微软雅黑"/>
        </w:rPr>
        <w:fldChar w:fldCharType="separate"/>
      </w:r>
      <w:r>
        <w:rPr>
          <w:rFonts w:hint="eastAsia" w:ascii="微软雅黑" w:hAnsi="微软雅黑" w:eastAsia="微软雅黑" w:cs="微软雅黑"/>
        </w:rPr>
        <w:t>附录12：返回参数示例说明</w:t>
      </w:r>
      <w:r>
        <w:tab/>
      </w:r>
      <w:r>
        <w:fldChar w:fldCharType="begin"/>
      </w:r>
      <w:r>
        <w:instrText xml:space="preserve"> PAGEREF _Toc5267 \h </w:instrText>
      </w:r>
      <w:r>
        <w:fldChar w:fldCharType="separate"/>
      </w:r>
      <w:r>
        <w:t>67</w:t>
      </w:r>
      <w:r>
        <w:fldChar w:fldCharType="end"/>
      </w:r>
      <w:r>
        <w:rPr>
          <w:rFonts w:hint="eastAsia" w:ascii="微软雅黑" w:hAnsi="微软雅黑" w:eastAsia="微软雅黑" w:cs="微软雅黑"/>
        </w:rPr>
        <w:fldChar w:fldCharType="end"/>
      </w:r>
    </w:p>
    <w:p>
      <w:pPr>
        <w:spacing w:before="156" w:beforeLines="50" w:after="156" w:afterLines="50" w:line="0" w:lineRule="atLeast"/>
        <w:rPr>
          <w:rFonts w:ascii="微软雅黑" w:hAnsi="微软雅黑" w:eastAsia="微软雅黑" w:cs="微软雅黑"/>
        </w:rPr>
        <w:sectPr>
          <w:headerReference r:id="rId8" w:type="default"/>
          <w:footerReference r:id="rId9" w:type="default"/>
          <w:type w:val="continuous"/>
          <w:pgSz w:w="11906" w:h="16838"/>
          <w:pgMar w:top="1440" w:right="1800" w:bottom="1440" w:left="1800" w:header="851" w:footer="992" w:gutter="0"/>
          <w:pgNumType w:start="0"/>
          <w:cols w:space="425" w:num="1"/>
          <w:docGrid w:type="lines" w:linePitch="312" w:charSpace="0"/>
        </w:sectPr>
      </w:pPr>
      <w:r>
        <w:rPr>
          <w:rFonts w:hint="eastAsia" w:ascii="微软雅黑" w:hAnsi="微软雅黑" w:eastAsia="微软雅黑" w:cs="微软雅黑"/>
        </w:rPr>
        <w:fldChar w:fldCharType="end"/>
      </w:r>
    </w:p>
    <w:p>
      <w:pPr>
        <w:pStyle w:val="2"/>
        <w:spacing w:before="156" w:beforeLines="50" w:after="156" w:afterLines="50" w:line="0" w:lineRule="atLeast"/>
        <w:ind w:left="0" w:firstLine="0"/>
        <w:rPr>
          <w:rFonts w:ascii="微软雅黑" w:hAnsi="微软雅黑" w:eastAsia="微软雅黑" w:cs="微软雅黑"/>
        </w:rPr>
      </w:pPr>
      <w:bookmarkStart w:id="5" w:name="_Toc491359821"/>
      <w:bookmarkStart w:id="6" w:name="_Toc3859"/>
      <w:bookmarkStart w:id="7" w:name="_Toc16180"/>
      <w:bookmarkStart w:id="8" w:name="_Toc107826181"/>
      <w:bookmarkStart w:id="9" w:name="_Toc13797"/>
      <w:r>
        <w:rPr>
          <w:rFonts w:hint="eastAsia" w:ascii="微软雅黑" w:hAnsi="微软雅黑" w:eastAsia="微软雅黑" w:cs="微软雅黑"/>
        </w:rPr>
        <w:t>前言</w:t>
      </w:r>
      <w:bookmarkEnd w:id="5"/>
      <w:bookmarkEnd w:id="6"/>
      <w:bookmarkEnd w:id="7"/>
      <w:bookmarkEnd w:id="8"/>
    </w:p>
    <w:p>
      <w:pPr>
        <w:pStyle w:val="4"/>
        <w:spacing w:before="156" w:beforeLines="50" w:after="156" w:afterLines="50" w:line="0" w:lineRule="atLeast"/>
        <w:ind w:left="0" w:firstLine="0"/>
        <w:rPr>
          <w:rFonts w:ascii="微软雅黑" w:hAnsi="微软雅黑" w:eastAsia="微软雅黑" w:cs="微软雅黑"/>
        </w:rPr>
      </w:pPr>
      <w:bookmarkStart w:id="10" w:name="_Toc3884"/>
      <w:bookmarkStart w:id="11" w:name="_Toc491359822"/>
      <w:bookmarkStart w:id="12" w:name="_Toc107826182"/>
      <w:bookmarkStart w:id="13" w:name="_Toc22282"/>
      <w:bookmarkStart w:id="14" w:name="_Toc271621427"/>
      <w:bookmarkStart w:id="15" w:name="_Toc353805144"/>
      <w:bookmarkStart w:id="16" w:name="_Toc498919233"/>
      <w:r>
        <w:rPr>
          <w:rFonts w:hint="eastAsia" w:ascii="微软雅黑" w:hAnsi="微软雅黑" w:eastAsia="微软雅黑" w:cs="微软雅黑"/>
        </w:rPr>
        <w:t>目的</w:t>
      </w:r>
      <w:bookmarkEnd w:id="10"/>
      <w:bookmarkEnd w:id="11"/>
      <w:bookmarkEnd w:id="12"/>
      <w:bookmarkEnd w:id="13"/>
      <w:bookmarkEnd w:id="14"/>
      <w:bookmarkEnd w:id="15"/>
      <w:bookmarkEnd w:id="16"/>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立足当前财政电子票据管理改革的需求，结合目前执收单位业务系统现状，整体建设目标如下：</w:t>
      </w:r>
    </w:p>
    <w:p>
      <w:pPr>
        <w:spacing w:before="156" w:beforeLines="50" w:after="156" w:afterLines="50" w:line="0" w:lineRule="atLeast"/>
        <w:rPr>
          <w:rFonts w:ascii="微软雅黑" w:hAnsi="微软雅黑" w:eastAsia="微软雅黑" w:cs="微软雅黑"/>
          <w:b/>
        </w:rPr>
      </w:pPr>
      <w:r>
        <w:rPr>
          <w:rFonts w:hint="eastAsia" w:ascii="微软雅黑" w:hAnsi="微软雅黑" w:eastAsia="微软雅黑" w:cs="微软雅黑"/>
          <w:b/>
        </w:rPr>
        <w:t>一是满足财政电子票据改革的需要。</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严格遵循财政部的财政电子票据管理改革的标准规范和业务要求，完成电子票据的开具、传输、查验、入账、归档，满足财政统一规范财政电子票据管理的需求。</w:t>
      </w:r>
    </w:p>
    <w:p>
      <w:pPr>
        <w:spacing w:before="156" w:beforeLines="50" w:after="156" w:afterLines="50" w:line="0" w:lineRule="atLeast"/>
        <w:rPr>
          <w:rFonts w:ascii="微软雅黑" w:hAnsi="微软雅黑" w:eastAsia="微软雅黑" w:cs="微软雅黑"/>
          <w:b/>
        </w:rPr>
      </w:pPr>
      <w:r>
        <w:rPr>
          <w:rFonts w:hint="eastAsia" w:ascii="微软雅黑" w:hAnsi="微软雅黑" w:eastAsia="微软雅黑" w:cs="微软雅黑"/>
          <w:b/>
        </w:rPr>
        <w:t>二是医院业务系统的快速接入。</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现有的医院收费系统只需进行简单改造，通过调用接口的方式即可快速满足财政电子票据管理要求，在不影响业务操作和用户体验的基础上提高系统建设进度的同时又充分保护了现有投资，避免了重复投资和浪费。</w:t>
      </w:r>
    </w:p>
    <w:p>
      <w:pPr>
        <w:pStyle w:val="4"/>
        <w:spacing w:before="156" w:beforeLines="50" w:after="156" w:afterLines="50" w:line="0" w:lineRule="atLeast"/>
        <w:ind w:left="0" w:firstLine="0"/>
        <w:rPr>
          <w:rFonts w:ascii="微软雅黑" w:hAnsi="微软雅黑" w:eastAsia="微软雅黑" w:cs="微软雅黑"/>
        </w:rPr>
      </w:pPr>
      <w:bookmarkStart w:id="17" w:name="_Toc10661"/>
      <w:bookmarkStart w:id="18" w:name="_Toc491359823"/>
      <w:bookmarkStart w:id="19" w:name="_Toc353805145"/>
      <w:bookmarkStart w:id="20" w:name="_Toc18973"/>
      <w:bookmarkStart w:id="21" w:name="_Toc107826183"/>
      <w:r>
        <w:rPr>
          <w:rFonts w:hint="eastAsia" w:ascii="微软雅黑" w:hAnsi="微软雅黑" w:eastAsia="微软雅黑" w:cs="微软雅黑"/>
        </w:rPr>
        <w:t>预期读者</w:t>
      </w:r>
      <w:bookmarkEnd w:id="17"/>
      <w:bookmarkEnd w:id="18"/>
      <w:bookmarkEnd w:id="19"/>
      <w:bookmarkEnd w:id="20"/>
      <w:bookmarkEnd w:id="21"/>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业务系统对应的开发者</w:t>
      </w:r>
    </w:p>
    <w:p>
      <w:pPr>
        <w:pStyle w:val="4"/>
        <w:spacing w:before="156" w:beforeLines="50" w:after="156" w:afterLines="50" w:line="0" w:lineRule="atLeast"/>
        <w:ind w:left="0" w:firstLine="0"/>
        <w:rPr>
          <w:rFonts w:ascii="微软雅黑" w:hAnsi="微软雅黑" w:eastAsia="微软雅黑" w:cs="微软雅黑"/>
        </w:rPr>
      </w:pPr>
      <w:bookmarkStart w:id="22" w:name="_Toc18222"/>
      <w:bookmarkStart w:id="23" w:name="_Toc353805146"/>
      <w:bookmarkStart w:id="24" w:name="_Toc491359824"/>
      <w:bookmarkStart w:id="25" w:name="_Toc10883"/>
      <w:bookmarkStart w:id="26" w:name="_Toc107826184"/>
      <w:r>
        <w:rPr>
          <w:rFonts w:hint="eastAsia" w:ascii="微软雅黑" w:hAnsi="微软雅黑" w:eastAsia="微软雅黑" w:cs="微软雅黑"/>
        </w:rPr>
        <w:t>背景</w:t>
      </w:r>
      <w:bookmarkEnd w:id="22"/>
      <w:bookmarkEnd w:id="23"/>
      <w:bookmarkEnd w:id="24"/>
      <w:bookmarkEnd w:id="25"/>
      <w:bookmarkEnd w:id="26"/>
    </w:p>
    <w:p>
      <w:pPr>
        <w:spacing w:before="156" w:beforeLines="50" w:after="156" w:afterLines="50" w:line="0" w:lineRule="atLeast"/>
        <w:rPr>
          <w:rFonts w:ascii="微软雅黑" w:hAnsi="微软雅黑" w:eastAsia="微软雅黑" w:cs="微软雅黑"/>
        </w:rPr>
      </w:pPr>
      <w:bookmarkStart w:id="27" w:name="_Toc271618403"/>
      <w:bookmarkStart w:id="28" w:name="_Toc271618375"/>
      <w:bookmarkStart w:id="29" w:name="_Toc271621431"/>
      <w:r>
        <w:rPr>
          <w:rFonts w:hint="eastAsia" w:ascii="微软雅黑" w:hAnsi="微软雅黑" w:eastAsia="微软雅黑" w:cs="微软雅黑"/>
        </w:rPr>
        <w:t>随着财政电子票据的推进，需要将传统的医疗票据转化为医疗电子票据，满足财政电子票据改革的需要。</w:t>
      </w:r>
      <w:bookmarkEnd w:id="27"/>
      <w:bookmarkEnd w:id="28"/>
      <w:bookmarkEnd w:id="29"/>
    </w:p>
    <w:p>
      <w:pPr>
        <w:pStyle w:val="2"/>
        <w:spacing w:before="156" w:beforeLines="50" w:after="156" w:afterLines="50" w:line="0" w:lineRule="atLeast"/>
        <w:ind w:left="0" w:firstLine="0"/>
        <w:rPr>
          <w:rFonts w:ascii="微软雅黑" w:hAnsi="微软雅黑" w:eastAsia="微软雅黑" w:cs="微软雅黑"/>
        </w:rPr>
      </w:pPr>
      <w:bookmarkStart w:id="30" w:name="_Toc491359826"/>
      <w:bookmarkStart w:id="31" w:name="_Toc31483"/>
      <w:bookmarkStart w:id="32" w:name="_Toc107826185"/>
      <w:bookmarkStart w:id="33" w:name="_Toc5450"/>
      <w:r>
        <w:rPr>
          <w:rFonts w:hint="eastAsia" w:ascii="微软雅黑" w:hAnsi="微软雅黑" w:eastAsia="微软雅黑" w:cs="微软雅黑"/>
        </w:rPr>
        <w:t>接口规范说明</w:t>
      </w:r>
      <w:bookmarkEnd w:id="30"/>
      <w:bookmarkEnd w:id="31"/>
      <w:bookmarkEnd w:id="32"/>
      <w:bookmarkEnd w:id="33"/>
    </w:p>
    <w:p>
      <w:pPr>
        <w:pStyle w:val="4"/>
        <w:spacing w:before="156" w:beforeLines="50" w:after="156" w:afterLines="50" w:line="0" w:lineRule="atLeast"/>
        <w:ind w:left="0" w:firstLine="0"/>
        <w:rPr>
          <w:rFonts w:ascii="微软雅黑" w:hAnsi="微软雅黑" w:eastAsia="微软雅黑" w:cs="微软雅黑"/>
        </w:rPr>
      </w:pPr>
      <w:bookmarkStart w:id="34" w:name="_Toc18047"/>
      <w:bookmarkStart w:id="35" w:name="_Toc133"/>
      <w:bookmarkStart w:id="36" w:name="_Toc107826186"/>
      <w:bookmarkStart w:id="37" w:name="_Toc491359827"/>
      <w:bookmarkStart w:id="38" w:name="OLE_LINK87"/>
      <w:r>
        <w:rPr>
          <w:rFonts w:hint="eastAsia" w:ascii="微软雅黑" w:hAnsi="微软雅黑" w:eastAsia="微软雅黑" w:cs="微软雅黑"/>
        </w:rPr>
        <w:t>访问协议</w:t>
      </w:r>
      <w:bookmarkEnd w:id="34"/>
      <w:bookmarkEnd w:id="35"/>
      <w:bookmarkEnd w:id="36"/>
      <w:bookmarkEnd w:id="3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统一技术标准，采用基于HTTP协议的进行交互，提交方式使用POST。</w:t>
      </w:r>
    </w:p>
    <w:tbl>
      <w:tblPr>
        <w:tblStyle w:val="3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6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传输方式</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支持HTTP/HTTPS传输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提交方式</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数据传输格式</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提交和返回数据可以为JSON格式（Content-Type: application/json）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字符编码</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统一采用UTF-8字符编码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签名算法</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签名要求</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请求和接收数据均需要校验签名，详细方法请参考《签名规则-签名算法》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D8D8D8" w:themeFill="background1" w:themeFillShade="D9"/>
            <w:vAlign w:val="center"/>
          </w:tcPr>
          <w:p>
            <w:pPr>
              <w:spacing w:before="156" w:beforeLines="50" w:after="156" w:afterLines="50" w:line="0" w:lineRule="atLeast"/>
              <w:rPr>
                <w:rFonts w:ascii="微软雅黑" w:hAnsi="微软雅黑" w:eastAsia="微软雅黑" w:cs="微软雅黑"/>
                <w:b/>
                <w:sz w:val="21"/>
              </w:rPr>
            </w:pPr>
            <w:r>
              <w:rPr>
                <w:rFonts w:hint="eastAsia" w:ascii="微软雅黑" w:hAnsi="微软雅黑" w:eastAsia="微软雅黑" w:cs="微软雅黑"/>
                <w:b/>
                <w:sz w:val="21"/>
              </w:rPr>
              <w:t>API服务地址</w:t>
            </w:r>
          </w:p>
        </w:tc>
        <w:tc>
          <w:tcPr>
            <w:tcW w:w="6854"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API服务地址规则：</w:t>
            </w:r>
          </w:p>
          <w:p>
            <w:pPr>
              <w:spacing w:before="156" w:beforeLines="50" w:after="156" w:afterLines="50" w:line="0" w:lineRule="atLeast"/>
              <w:rPr>
                <w:rFonts w:ascii="微软雅黑" w:hAnsi="微软雅黑" w:eastAsia="微软雅黑" w:cs="微软雅黑"/>
                <w:sz w:val="21"/>
              </w:rPr>
            </w:pPr>
            <w:r>
              <w:fldChar w:fldCharType="begin"/>
            </w:r>
            <w:r>
              <w:instrText xml:space="preserve"> HYPERLINK </w:instrText>
            </w:r>
            <w:r>
              <w:fldChar w:fldCharType="separate"/>
            </w:r>
            <w:r>
              <w:rPr>
                <w:rStyle w:val="42"/>
                <w:rFonts w:hint="eastAsia" w:ascii="微软雅黑" w:hAnsi="微软雅黑" w:eastAsia="微软雅黑" w:cs="微软雅黑"/>
                <w:sz w:val="21"/>
              </w:rPr>
              <w:t>http://&lt;ip&gt;:&lt;port&gt;/&lt;service&gt;/api/medical/接口服务标识</w:t>
            </w:r>
            <w:r>
              <w:rPr>
                <w:rStyle w:val="42"/>
                <w:rFonts w:hint="eastAsia" w:ascii="微软雅黑" w:hAnsi="微软雅黑" w:eastAsia="微软雅黑" w:cs="微软雅黑"/>
                <w:sz w:val="21"/>
              </w:rPr>
              <w:fldChar w:fldCharType="end"/>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注：serveice指医疗电子票据管理平台部署的服务名称</w:t>
            </w:r>
          </w:p>
        </w:tc>
      </w:tr>
    </w:tbl>
    <w:p>
      <w:pPr>
        <w:pStyle w:val="4"/>
        <w:spacing w:before="156" w:beforeLines="50" w:after="156" w:afterLines="50" w:line="0" w:lineRule="atLeast"/>
        <w:ind w:left="0" w:firstLine="0"/>
        <w:rPr>
          <w:rFonts w:ascii="微软雅黑" w:hAnsi="微软雅黑" w:eastAsia="微软雅黑" w:cs="微软雅黑"/>
        </w:rPr>
      </w:pPr>
      <w:bookmarkStart w:id="39" w:name="_Toc107826187"/>
      <w:bookmarkStart w:id="40" w:name="_Toc26438"/>
      <w:bookmarkStart w:id="41" w:name="_Toc28984"/>
      <w:r>
        <w:rPr>
          <w:rFonts w:hint="eastAsia" w:ascii="微软雅黑" w:hAnsi="微软雅黑" w:eastAsia="微软雅黑" w:cs="微软雅黑"/>
        </w:rPr>
        <w:t>访问授权</w:t>
      </w:r>
      <w:bookmarkEnd w:id="39"/>
      <w:bookmarkEnd w:id="40"/>
      <w:bookmarkEnd w:id="41"/>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接口调用方在调用API服务之前，必须获取接口服务提供方的访问授权，即appid和签名私钥key（需要平台提供）。</w:t>
      </w:r>
    </w:p>
    <w:p>
      <w:pPr>
        <w:pStyle w:val="4"/>
        <w:spacing w:before="156" w:beforeLines="50" w:after="156" w:afterLines="50" w:line="0" w:lineRule="atLeast"/>
        <w:ind w:left="0" w:firstLine="0"/>
        <w:rPr>
          <w:rFonts w:ascii="微软雅黑" w:hAnsi="微软雅黑" w:eastAsia="微软雅黑" w:cs="微软雅黑"/>
        </w:rPr>
      </w:pPr>
      <w:bookmarkStart w:id="42" w:name="_Toc15667"/>
      <w:bookmarkStart w:id="43" w:name="_Toc107826188"/>
      <w:bookmarkStart w:id="44" w:name="_Toc32347"/>
      <w:r>
        <w:rPr>
          <w:rFonts w:hint="eastAsia" w:ascii="微软雅黑" w:hAnsi="微软雅黑" w:eastAsia="微软雅黑" w:cs="微软雅黑"/>
        </w:rPr>
        <w:t>参数规范</w:t>
      </w:r>
      <w:bookmarkEnd w:id="42"/>
      <w:bookmarkEnd w:id="43"/>
      <w:bookmarkEnd w:id="44"/>
    </w:p>
    <w:p>
      <w:pPr>
        <w:pStyle w:val="5"/>
        <w:spacing w:before="156" w:beforeLines="50" w:after="156" w:afterLines="50" w:line="0" w:lineRule="atLeast"/>
        <w:ind w:left="0" w:firstLine="0"/>
        <w:rPr>
          <w:rFonts w:ascii="微软雅黑" w:hAnsi="微软雅黑" w:eastAsia="微软雅黑" w:cs="微软雅黑"/>
        </w:rPr>
      </w:pPr>
      <w:bookmarkStart w:id="45" w:name="_Toc7996"/>
      <w:bookmarkStart w:id="46" w:name="_Toc710"/>
      <w:bookmarkStart w:id="47" w:name="_Toc107826189"/>
      <w:r>
        <w:rPr>
          <w:rFonts w:hint="eastAsia" w:ascii="微软雅黑" w:hAnsi="微软雅黑" w:eastAsia="微软雅黑" w:cs="微软雅黑"/>
        </w:rPr>
        <w:t>服务请求方发送请求</w:t>
      </w:r>
      <w:bookmarkEnd w:id="45"/>
      <w:bookmarkEnd w:id="46"/>
      <w:bookmarkEnd w:id="4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请求参数内容：</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其中data为请求业务参数，根据不同的接口构造参数；其余的参数为公用参数。</w:t>
      </w:r>
    </w:p>
    <w:tbl>
      <w:tblPr>
        <w:tblStyle w:val="35"/>
        <w:tblW w:w="8897" w:type="dxa"/>
        <w:tblInd w:w="135" w:type="dxa"/>
        <w:tblLayout w:type="fixed"/>
        <w:tblCellMar>
          <w:top w:w="0" w:type="dxa"/>
          <w:left w:w="108" w:type="dxa"/>
          <w:bottom w:w="0" w:type="dxa"/>
          <w:right w:w="108" w:type="dxa"/>
        </w:tblCellMar>
      </w:tblPr>
      <w:tblGrid>
        <w:gridCol w:w="1668"/>
        <w:gridCol w:w="1417"/>
        <w:gridCol w:w="1418"/>
        <w:gridCol w:w="999"/>
        <w:gridCol w:w="3395"/>
      </w:tblGrid>
      <w:tr>
        <w:tblPrEx>
          <w:tblCellMar>
            <w:top w:w="0" w:type="dxa"/>
            <w:left w:w="108" w:type="dxa"/>
            <w:bottom w:w="0" w:type="dxa"/>
            <w:right w:w="108" w:type="dxa"/>
          </w:tblCellMar>
        </w:tblPrEx>
        <w:trPr>
          <w:trHeight w:val="388" w:hRule="atLeast"/>
        </w:trPr>
        <w:tc>
          <w:tcPr>
            <w:tcW w:w="1668" w:type="dxa"/>
            <w:tcBorders>
              <w:top w:val="single" w:color="auto" w:sz="4" w:space="0"/>
              <w:left w:val="single" w:color="auto" w:sz="4" w:space="0"/>
              <w:bottom w:val="single" w:color="auto" w:sz="4" w:space="0"/>
              <w:right w:val="single" w:color="auto" w:sz="4" w:space="0"/>
            </w:tcBorders>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参数中文名称</w:t>
            </w:r>
          </w:p>
        </w:tc>
        <w:tc>
          <w:tcPr>
            <w:tcW w:w="1417" w:type="dxa"/>
            <w:tcBorders>
              <w:top w:val="single" w:color="auto" w:sz="4" w:space="0"/>
              <w:left w:val="nil"/>
              <w:bottom w:val="single" w:color="auto" w:sz="4" w:space="0"/>
              <w:right w:val="single" w:color="auto" w:sz="4" w:space="0"/>
            </w:tcBorders>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参数名</w:t>
            </w:r>
          </w:p>
        </w:tc>
        <w:tc>
          <w:tcPr>
            <w:tcW w:w="1418" w:type="dxa"/>
            <w:tcBorders>
              <w:top w:val="single" w:color="auto" w:sz="4" w:space="0"/>
              <w:left w:val="nil"/>
              <w:bottom w:val="single" w:color="auto" w:sz="4" w:space="0"/>
              <w:right w:val="single" w:color="auto" w:sz="4" w:space="0"/>
            </w:tcBorders>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类型定义</w:t>
            </w:r>
          </w:p>
        </w:tc>
        <w:tc>
          <w:tcPr>
            <w:tcW w:w="999" w:type="dxa"/>
            <w:tcBorders>
              <w:top w:val="single" w:color="auto" w:sz="4" w:space="0"/>
              <w:left w:val="nil"/>
              <w:bottom w:val="single" w:color="auto" w:sz="4" w:space="0"/>
              <w:right w:val="single" w:color="auto" w:sz="4" w:space="0"/>
            </w:tcBorders>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必填</w:t>
            </w:r>
          </w:p>
        </w:tc>
        <w:tc>
          <w:tcPr>
            <w:tcW w:w="3395" w:type="dxa"/>
            <w:tcBorders>
              <w:top w:val="single" w:color="auto" w:sz="4" w:space="0"/>
              <w:left w:val="nil"/>
              <w:bottom w:val="single" w:color="auto" w:sz="4" w:space="0"/>
              <w:right w:val="single" w:color="auto" w:sz="4" w:space="0"/>
            </w:tcBorders>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说明</w:t>
            </w:r>
          </w:p>
        </w:tc>
      </w:tr>
      <w:tr>
        <w:tblPrEx>
          <w:tblCellMar>
            <w:top w:w="0" w:type="dxa"/>
            <w:left w:w="108" w:type="dxa"/>
            <w:bottom w:w="0" w:type="dxa"/>
            <w:right w:w="108" w:type="dxa"/>
          </w:tblCellMar>
        </w:tblPrEx>
        <w:trPr>
          <w:trHeight w:val="181" w:hRule="atLeast"/>
        </w:trPr>
        <w:tc>
          <w:tcPr>
            <w:tcW w:w="1668"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应用帐号</w:t>
            </w:r>
          </w:p>
        </w:tc>
        <w:tc>
          <w:tcPr>
            <w:tcW w:w="1417"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appid</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99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39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调用方应用帐号，由平台提供</w:t>
            </w:r>
          </w:p>
        </w:tc>
      </w:tr>
      <w:tr>
        <w:tblPrEx>
          <w:tblCellMar>
            <w:top w:w="0" w:type="dxa"/>
            <w:left w:w="108" w:type="dxa"/>
            <w:bottom w:w="0" w:type="dxa"/>
            <w:right w:w="108" w:type="dxa"/>
          </w:tblCellMar>
        </w:tblPrEx>
        <w:trPr>
          <w:trHeight w:val="388" w:hRule="atLeast"/>
        </w:trPr>
        <w:tc>
          <w:tcPr>
            <w:tcW w:w="1668"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请求业务参数</w:t>
            </w:r>
          </w:p>
        </w:tc>
        <w:tc>
          <w:tcPr>
            <w:tcW w:w="1417"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data</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99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39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各接口请求业务参数的内容不同，实际内容以各接口接口为准；</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接口请求业务参数值，参数JSON的格式，并且做base64编码,编码字符集UTF-8</w:t>
            </w:r>
          </w:p>
        </w:tc>
      </w:tr>
      <w:tr>
        <w:tblPrEx>
          <w:tblCellMar>
            <w:top w:w="0" w:type="dxa"/>
            <w:left w:w="108" w:type="dxa"/>
            <w:bottom w:w="0" w:type="dxa"/>
            <w:right w:w="108" w:type="dxa"/>
          </w:tblCellMar>
        </w:tblPrEx>
        <w:trPr>
          <w:trHeight w:val="388" w:hRule="atLeast"/>
        </w:trPr>
        <w:tc>
          <w:tcPr>
            <w:tcW w:w="1668"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请求随机标识</w:t>
            </w:r>
          </w:p>
        </w:tc>
        <w:tc>
          <w:tcPr>
            <w:tcW w:w="1417"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noise</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99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39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每次请求生成一个唯一编号，全局唯一（建议采用UUID）。</w:t>
            </w:r>
          </w:p>
        </w:tc>
      </w:tr>
      <w:tr>
        <w:tblPrEx>
          <w:tblCellMar>
            <w:top w:w="0" w:type="dxa"/>
            <w:left w:w="108" w:type="dxa"/>
            <w:bottom w:w="0" w:type="dxa"/>
            <w:right w:w="108" w:type="dxa"/>
          </w:tblCellMar>
        </w:tblPrEx>
        <w:trPr>
          <w:trHeight w:val="388" w:hRule="atLeast"/>
        </w:trPr>
        <w:tc>
          <w:tcPr>
            <w:tcW w:w="1668"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color w:val="C00000"/>
                <w:sz w:val="21"/>
              </w:rPr>
            </w:pPr>
            <w:r>
              <w:rPr>
                <w:rFonts w:hint="eastAsia" w:ascii="微软雅黑" w:hAnsi="微软雅黑" w:eastAsia="微软雅黑" w:cs="微软雅黑"/>
                <w:color w:val="C00000"/>
                <w:sz w:val="21"/>
              </w:rPr>
              <w:t>版本号</w:t>
            </w:r>
          </w:p>
        </w:tc>
        <w:tc>
          <w:tcPr>
            <w:tcW w:w="1417"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color w:val="C00000"/>
                <w:sz w:val="21"/>
              </w:rPr>
            </w:pPr>
            <w:r>
              <w:rPr>
                <w:rFonts w:hint="eastAsia" w:ascii="微软雅黑" w:hAnsi="微软雅黑" w:eastAsia="微软雅黑" w:cs="微软雅黑"/>
                <w:color w:val="C00000"/>
                <w:sz w:val="21"/>
              </w:rPr>
              <w:t>version</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color w:val="C00000"/>
                <w:sz w:val="21"/>
              </w:rPr>
            </w:pPr>
            <w:r>
              <w:rPr>
                <w:rFonts w:hint="eastAsia" w:ascii="微软雅黑" w:hAnsi="微软雅黑" w:eastAsia="微软雅黑" w:cs="微软雅黑"/>
                <w:color w:val="C00000"/>
                <w:sz w:val="21"/>
              </w:rPr>
              <w:t>String</w:t>
            </w:r>
          </w:p>
        </w:tc>
        <w:tc>
          <w:tcPr>
            <w:tcW w:w="99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color w:val="C00000"/>
                <w:sz w:val="21"/>
              </w:rPr>
            </w:pPr>
            <w:r>
              <w:rPr>
                <w:rFonts w:hint="eastAsia" w:ascii="微软雅黑" w:hAnsi="微软雅黑" w:eastAsia="微软雅黑" w:cs="微软雅黑"/>
                <w:color w:val="C00000"/>
                <w:sz w:val="21"/>
              </w:rPr>
              <w:t>是</w:t>
            </w:r>
          </w:p>
        </w:tc>
        <w:tc>
          <w:tcPr>
            <w:tcW w:w="339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color w:val="C00000"/>
                <w:sz w:val="21"/>
              </w:rPr>
            </w:pPr>
            <w:r>
              <w:rPr>
                <w:rFonts w:hint="eastAsia" w:ascii="微软雅黑" w:hAnsi="微软雅黑" w:eastAsia="微软雅黑" w:cs="微软雅黑"/>
                <w:color w:val="C00000"/>
                <w:sz w:val="21"/>
              </w:rPr>
              <w:t>默认1.0</w:t>
            </w:r>
          </w:p>
        </w:tc>
      </w:tr>
      <w:tr>
        <w:tblPrEx>
          <w:tblCellMar>
            <w:top w:w="0" w:type="dxa"/>
            <w:left w:w="108" w:type="dxa"/>
            <w:bottom w:w="0" w:type="dxa"/>
            <w:right w:w="108" w:type="dxa"/>
          </w:tblCellMar>
        </w:tblPrEx>
        <w:trPr>
          <w:trHeight w:val="388" w:hRule="atLeast"/>
        </w:trPr>
        <w:tc>
          <w:tcPr>
            <w:tcW w:w="1668"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签名</w:t>
            </w:r>
          </w:p>
        </w:tc>
        <w:tc>
          <w:tcPr>
            <w:tcW w:w="1417"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sign</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99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39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MD5摘要结果转换成大写</w:t>
            </w:r>
          </w:p>
        </w:tc>
      </w:tr>
    </w:tbl>
    <w:p>
      <w:pPr>
        <w:pStyle w:val="95"/>
        <w:numPr>
          <w:ilvl w:val="0"/>
          <w:numId w:val="6"/>
        </w:numPr>
        <w:spacing w:before="156" w:beforeLines="50" w:after="156" w:afterLines="50" w:line="0" w:lineRule="atLeast"/>
        <w:ind w:left="0" w:firstLine="0" w:firstLineChars="0"/>
        <w:rPr>
          <w:rFonts w:ascii="微软雅黑" w:hAnsi="微软雅黑" w:eastAsia="微软雅黑" w:cs="微软雅黑"/>
          <w:sz w:val="21"/>
        </w:rPr>
      </w:pPr>
      <w:r>
        <w:rPr>
          <w:rFonts w:hint="eastAsia" w:ascii="微软雅黑" w:hAnsi="微软雅黑" w:eastAsia="微软雅黑" w:cs="微软雅黑"/>
          <w:sz w:val="21"/>
        </w:rPr>
        <w:t>请求方参数主要包括应用帐号appid 、data、随机标识noise、签名sign。</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签名规则详见-2.4。</w:t>
      </w:r>
    </w:p>
    <w:p>
      <w:pPr>
        <w:pStyle w:val="95"/>
        <w:numPr>
          <w:ilvl w:val="0"/>
          <w:numId w:val="6"/>
        </w:numPr>
        <w:spacing w:before="156" w:beforeLines="50" w:after="156" w:afterLines="50" w:line="0" w:lineRule="atLeast"/>
        <w:ind w:left="0" w:firstLine="0" w:firstLineChars="0"/>
        <w:rPr>
          <w:rFonts w:ascii="微软雅黑" w:hAnsi="微软雅黑" w:eastAsia="微软雅黑" w:cs="微软雅黑"/>
          <w:sz w:val="21"/>
        </w:rPr>
      </w:pPr>
      <w:r>
        <w:rPr>
          <w:rFonts w:hint="eastAsia" w:ascii="微软雅黑" w:hAnsi="微软雅黑" w:eastAsia="微软雅黑" w:cs="微软雅黑"/>
          <w:sz w:val="21"/>
        </w:rPr>
        <w:t>参数data内容，采用base64编码，字符集UTF-8，参考2.5。</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注：key的值必须与appid对应</w:t>
      </w:r>
    </w:p>
    <w:p>
      <w:pPr>
        <w:pStyle w:val="5"/>
        <w:spacing w:before="156" w:beforeLines="50" w:after="156" w:afterLines="50" w:line="0" w:lineRule="atLeast"/>
        <w:ind w:left="0" w:firstLine="0"/>
        <w:rPr>
          <w:rFonts w:ascii="微软雅黑" w:hAnsi="微软雅黑" w:eastAsia="微软雅黑" w:cs="微软雅黑"/>
        </w:rPr>
      </w:pPr>
      <w:bookmarkStart w:id="48" w:name="_Toc107826190"/>
      <w:bookmarkStart w:id="49" w:name="_Toc26599"/>
      <w:bookmarkStart w:id="50" w:name="_Toc21877"/>
      <w:r>
        <w:rPr>
          <w:rFonts w:hint="eastAsia" w:ascii="微软雅黑" w:hAnsi="微软雅黑" w:eastAsia="微软雅黑" w:cs="微软雅黑"/>
        </w:rPr>
        <w:t>服务提供者返回请求结果</w:t>
      </w:r>
      <w:bookmarkEnd w:id="48"/>
      <w:bookmarkEnd w:id="49"/>
      <w:bookmarkEnd w:id="50"/>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响应参数内容：</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其中data为返回结果参数，根据不同的接口构造参数；其余的参数为公用参数</w:t>
      </w:r>
    </w:p>
    <w:tbl>
      <w:tblPr>
        <w:tblStyle w:val="35"/>
        <w:tblW w:w="8897" w:type="dxa"/>
        <w:tblInd w:w="135" w:type="dxa"/>
        <w:tblLayout w:type="fixed"/>
        <w:tblCellMar>
          <w:top w:w="0" w:type="dxa"/>
          <w:left w:w="108" w:type="dxa"/>
          <w:bottom w:w="0" w:type="dxa"/>
          <w:right w:w="108" w:type="dxa"/>
        </w:tblCellMar>
      </w:tblPr>
      <w:tblGrid>
        <w:gridCol w:w="1674"/>
        <w:gridCol w:w="1411"/>
        <w:gridCol w:w="1418"/>
        <w:gridCol w:w="1275"/>
        <w:gridCol w:w="3119"/>
      </w:tblGrid>
      <w:tr>
        <w:tblPrEx>
          <w:tblCellMar>
            <w:top w:w="0" w:type="dxa"/>
            <w:left w:w="108" w:type="dxa"/>
            <w:bottom w:w="0" w:type="dxa"/>
            <w:right w:w="108" w:type="dxa"/>
          </w:tblCellMar>
        </w:tblPrEx>
        <w:trPr>
          <w:trHeight w:val="388" w:hRule="atLeast"/>
        </w:trPr>
        <w:tc>
          <w:tcPr>
            <w:tcW w:w="1674" w:type="dxa"/>
            <w:tcBorders>
              <w:top w:val="single" w:color="auto" w:sz="4" w:space="0"/>
              <w:left w:val="single" w:color="auto" w:sz="4" w:space="0"/>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参数中文名称</w:t>
            </w:r>
          </w:p>
        </w:tc>
        <w:tc>
          <w:tcPr>
            <w:tcW w:w="1411" w:type="dxa"/>
            <w:tcBorders>
              <w:top w:val="single" w:color="auto" w:sz="4" w:space="0"/>
              <w:left w:val="nil"/>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参数名</w:t>
            </w:r>
          </w:p>
        </w:tc>
        <w:tc>
          <w:tcPr>
            <w:tcW w:w="1418" w:type="dxa"/>
            <w:tcBorders>
              <w:top w:val="single" w:color="auto" w:sz="4" w:space="0"/>
              <w:left w:val="nil"/>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类型定义</w:t>
            </w:r>
          </w:p>
        </w:tc>
        <w:tc>
          <w:tcPr>
            <w:tcW w:w="1275" w:type="dxa"/>
            <w:tcBorders>
              <w:top w:val="single" w:color="auto" w:sz="4" w:space="0"/>
              <w:left w:val="nil"/>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是否必填</w:t>
            </w:r>
          </w:p>
        </w:tc>
        <w:tc>
          <w:tcPr>
            <w:tcW w:w="3119" w:type="dxa"/>
            <w:tcBorders>
              <w:top w:val="single" w:color="auto" w:sz="4" w:space="0"/>
              <w:left w:val="nil"/>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sz w:val="21"/>
              </w:rPr>
            </w:pPr>
            <w:r>
              <w:rPr>
                <w:rFonts w:hint="eastAsia" w:ascii="微软雅黑" w:hAnsi="微软雅黑" w:eastAsia="微软雅黑" w:cs="微软雅黑"/>
                <w:b/>
                <w:bCs/>
                <w:color w:val="000000"/>
                <w:sz w:val="21"/>
              </w:rPr>
              <w:t>说明</w:t>
            </w:r>
          </w:p>
        </w:tc>
      </w:tr>
      <w:tr>
        <w:tblPrEx>
          <w:tblCellMar>
            <w:top w:w="0" w:type="dxa"/>
            <w:left w:w="108" w:type="dxa"/>
            <w:bottom w:w="0" w:type="dxa"/>
            <w:right w:w="108" w:type="dxa"/>
          </w:tblCellMar>
        </w:tblPrEx>
        <w:trPr>
          <w:trHeight w:val="388" w:hRule="atLeast"/>
        </w:trPr>
        <w:tc>
          <w:tcPr>
            <w:tcW w:w="1674"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返回结果参数</w:t>
            </w:r>
          </w:p>
        </w:tc>
        <w:tc>
          <w:tcPr>
            <w:tcW w:w="1411"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data</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127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11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各API调用返回的内容不同，实际内容以各接口API为准，参数值为JSON格式做base64编码，编码字符集UTF-8 </w:t>
            </w:r>
          </w:p>
        </w:tc>
      </w:tr>
      <w:tr>
        <w:tblPrEx>
          <w:tblCellMar>
            <w:top w:w="0" w:type="dxa"/>
            <w:left w:w="108" w:type="dxa"/>
            <w:bottom w:w="0" w:type="dxa"/>
            <w:right w:w="108" w:type="dxa"/>
          </w:tblCellMar>
        </w:tblPrEx>
        <w:trPr>
          <w:trHeight w:val="388" w:hRule="atLeast"/>
        </w:trPr>
        <w:tc>
          <w:tcPr>
            <w:tcW w:w="1674"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返回随机标识</w:t>
            </w:r>
          </w:p>
        </w:tc>
        <w:tc>
          <w:tcPr>
            <w:tcW w:w="1411"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noise</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127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11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每次请求返回一个唯一编号，全局唯一（建议采用UUID）。</w:t>
            </w:r>
          </w:p>
        </w:tc>
      </w:tr>
      <w:tr>
        <w:tblPrEx>
          <w:tblCellMar>
            <w:top w:w="0" w:type="dxa"/>
            <w:left w:w="108" w:type="dxa"/>
            <w:bottom w:w="0" w:type="dxa"/>
            <w:right w:w="108" w:type="dxa"/>
          </w:tblCellMar>
        </w:tblPrEx>
        <w:trPr>
          <w:trHeight w:val="388" w:hRule="atLeast"/>
        </w:trPr>
        <w:tc>
          <w:tcPr>
            <w:tcW w:w="1674" w:type="dxa"/>
            <w:tcBorders>
              <w:top w:val="single" w:color="auto" w:sz="4" w:space="0"/>
              <w:left w:val="single" w:color="auto" w:sz="4" w:space="0"/>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签名</w:t>
            </w:r>
          </w:p>
        </w:tc>
        <w:tc>
          <w:tcPr>
            <w:tcW w:w="1411"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sign</w:t>
            </w:r>
          </w:p>
        </w:tc>
        <w:tc>
          <w:tcPr>
            <w:tcW w:w="1418"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w:t>
            </w:r>
          </w:p>
        </w:tc>
        <w:tc>
          <w:tcPr>
            <w:tcW w:w="1275"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是</w:t>
            </w:r>
          </w:p>
        </w:tc>
        <w:tc>
          <w:tcPr>
            <w:tcW w:w="3119" w:type="dxa"/>
            <w:tcBorders>
              <w:top w:val="single" w:color="auto" w:sz="4" w:space="0"/>
              <w:left w:val="nil"/>
              <w:bottom w:val="single" w:color="auto" w:sz="4" w:space="0"/>
              <w:right w:val="single" w:color="auto" w:sz="4" w:space="0"/>
            </w:tcBorders>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MD5摘要结果转换成大写</w:t>
            </w:r>
          </w:p>
        </w:tc>
      </w:tr>
    </w:tbl>
    <w:p>
      <w:pPr>
        <w:pStyle w:val="95"/>
        <w:numPr>
          <w:ilvl w:val="0"/>
          <w:numId w:val="7"/>
        </w:numPr>
        <w:spacing w:before="156" w:beforeLines="50" w:after="156" w:afterLines="50" w:line="0" w:lineRule="atLeast"/>
        <w:ind w:left="0" w:firstLine="0" w:firstLineChars="0"/>
        <w:rPr>
          <w:rFonts w:ascii="微软雅黑" w:hAnsi="微软雅黑" w:eastAsia="微软雅黑" w:cs="微软雅黑"/>
          <w:sz w:val="21"/>
        </w:rPr>
      </w:pPr>
      <w:r>
        <w:rPr>
          <w:rFonts w:hint="eastAsia" w:ascii="微软雅黑" w:hAnsi="微软雅黑" w:eastAsia="微软雅黑" w:cs="微软雅黑"/>
          <w:sz w:val="21"/>
        </w:rPr>
        <w:t>接口返回内容主要包括结果data、随机标示noise、签名sign。</w:t>
      </w:r>
    </w:p>
    <w:p>
      <w:pPr>
        <w:pStyle w:val="95"/>
        <w:numPr>
          <w:ilvl w:val="0"/>
          <w:numId w:val="7"/>
        </w:numPr>
        <w:spacing w:before="156" w:beforeLines="50" w:after="156" w:afterLines="50" w:line="0" w:lineRule="atLeast"/>
        <w:ind w:left="0" w:firstLine="0" w:firstLineChars="0"/>
        <w:rPr>
          <w:rFonts w:ascii="微软雅黑" w:hAnsi="微软雅黑" w:eastAsia="微软雅黑" w:cs="微软雅黑"/>
          <w:sz w:val="21"/>
        </w:rPr>
      </w:pPr>
      <w:r>
        <w:rPr>
          <w:rFonts w:hint="eastAsia" w:ascii="微软雅黑" w:hAnsi="微软雅黑" w:eastAsia="微软雅黑" w:cs="微软雅黑"/>
          <w:sz w:val="21"/>
        </w:rPr>
        <w:t>服务请求方在接收到响应参数后要进行解密、解析处理；</w:t>
      </w:r>
    </w:p>
    <w:p>
      <w:pPr>
        <w:pStyle w:val="95"/>
        <w:spacing w:before="156" w:beforeLines="50" w:after="156" w:afterLines="50" w:line="0" w:lineRule="atLeast"/>
        <w:ind w:firstLine="0" w:firstLineChars="0"/>
        <w:rPr>
          <w:rFonts w:ascii="微软雅黑" w:hAnsi="微软雅黑" w:eastAsia="微软雅黑" w:cs="微软雅黑"/>
          <w:sz w:val="21"/>
        </w:rPr>
      </w:pPr>
      <w:r>
        <w:rPr>
          <w:rFonts w:hint="eastAsia" w:ascii="微软雅黑" w:hAnsi="微软雅黑" w:eastAsia="微软雅黑" w:cs="微软雅黑"/>
          <w:sz w:val="21"/>
        </w:rPr>
        <w:t>签名规则详见-2.4。</w:t>
      </w:r>
    </w:p>
    <w:p>
      <w:pPr>
        <w:pStyle w:val="95"/>
        <w:numPr>
          <w:ilvl w:val="0"/>
          <w:numId w:val="7"/>
        </w:numPr>
        <w:spacing w:before="156" w:beforeLines="50" w:after="156" w:afterLines="50" w:line="0" w:lineRule="atLeast"/>
        <w:ind w:left="0" w:firstLine="0" w:firstLineChars="0"/>
        <w:rPr>
          <w:rFonts w:ascii="微软雅黑" w:hAnsi="微软雅黑" w:eastAsia="微软雅黑" w:cs="微软雅黑"/>
          <w:sz w:val="21"/>
        </w:rPr>
      </w:pPr>
      <w:r>
        <w:rPr>
          <w:rFonts w:hint="eastAsia" w:ascii="微软雅黑" w:hAnsi="微软雅黑" w:eastAsia="微软雅黑" w:cs="微软雅黑"/>
          <w:sz w:val="21"/>
        </w:rPr>
        <w:t>在验签成功后，将data做BASE64解码，读取解码结果。</w:t>
      </w:r>
    </w:p>
    <w:p>
      <w:pPr>
        <w:pStyle w:val="6"/>
        <w:spacing w:before="156" w:beforeLines="50" w:after="156" w:afterLines="50" w:line="0" w:lineRule="atLeast"/>
        <w:ind w:left="0" w:firstLine="0"/>
        <w:rPr>
          <w:rFonts w:ascii="微软雅黑" w:hAnsi="微软雅黑" w:eastAsia="微软雅黑" w:cs="微软雅黑"/>
        </w:rPr>
      </w:pPr>
      <w:bookmarkStart w:id="51" w:name="_Toc18119"/>
      <w:bookmarkStart w:id="52" w:name="_Toc491359830"/>
      <w:r>
        <w:rPr>
          <w:rFonts w:hint="eastAsia" w:ascii="微软雅黑" w:hAnsi="微软雅黑" w:eastAsia="微软雅黑" w:cs="微软雅黑"/>
        </w:rPr>
        <w:t>返回结果参数data说明</w:t>
      </w:r>
      <w:bookmarkEnd w:id="51"/>
      <w:bookmarkEnd w:id="52"/>
    </w:p>
    <w:p>
      <w:pPr>
        <w:spacing w:before="156" w:beforeLines="50" w:after="156" w:afterLines="50" w:line="0" w:lineRule="atLeast"/>
        <w:rPr>
          <w:rFonts w:ascii="微软雅黑" w:hAnsi="微软雅黑" w:eastAsia="微软雅黑" w:cs="微软雅黑"/>
          <w:color w:val="FF0000"/>
        </w:rPr>
      </w:pPr>
      <w:r>
        <w:rPr>
          <w:rFonts w:hint="eastAsia" w:ascii="微软雅黑" w:hAnsi="微软雅黑" w:eastAsia="微软雅黑" w:cs="微软雅黑"/>
          <w:color w:val="FF0000"/>
        </w:rPr>
        <w:t>返回结果的中的签名规则与请求中签名规则一致。</w:t>
      </w:r>
    </w:p>
    <w:p>
      <w:pPr>
        <w:pStyle w:val="92"/>
        <w:numPr>
          <w:ilvl w:val="0"/>
          <w:numId w:val="8"/>
        </w:numPr>
        <w:spacing w:before="156" w:beforeLines="50" w:after="156" w:afterLines="50" w:line="0" w:lineRule="atLeast"/>
        <w:ind w:left="0" w:firstLine="0" w:firstLineChars="0"/>
        <w:rPr>
          <w:rFonts w:ascii="微软雅黑" w:hAnsi="微软雅黑" w:eastAsia="微软雅黑" w:cs="微软雅黑"/>
        </w:rPr>
      </w:pPr>
      <w:r>
        <w:rPr>
          <w:rFonts w:hint="eastAsia" w:ascii="微软雅黑" w:hAnsi="微软雅黑" w:eastAsia="微软雅黑" w:cs="微软雅黑"/>
        </w:rPr>
        <w:t>请求成功时，返回json（返回结果参数message）格式如：</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{"result":"S0000","message":"BASE64(响应业务参数)"}。</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请求成功返回结果，请求方读取message参数中的内容做BASE64解码，读取解码结果。</w:t>
      </w:r>
    </w:p>
    <w:p>
      <w:pPr>
        <w:pStyle w:val="92"/>
        <w:numPr>
          <w:ilvl w:val="0"/>
          <w:numId w:val="8"/>
        </w:numPr>
        <w:spacing w:before="156" w:beforeLines="50" w:after="156" w:afterLines="50" w:line="0" w:lineRule="atLeast"/>
        <w:ind w:left="0" w:firstLine="0" w:firstLineChars="0"/>
        <w:rPr>
          <w:rFonts w:ascii="微软雅黑" w:hAnsi="微软雅黑" w:eastAsia="微软雅黑" w:cs="微软雅黑"/>
        </w:rPr>
      </w:pPr>
      <w:r>
        <w:rPr>
          <w:rFonts w:hint="eastAsia" w:ascii="微软雅黑" w:hAnsi="微软雅黑" w:eastAsia="微软雅黑" w:cs="微软雅黑"/>
        </w:rPr>
        <w:t>请求失败时，返回json（返回结果参数message）格式如：</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{"result":"E0001","message":"BASE64(错误信息)"}。</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请求失败返回结果，请求方只需要读取data参数中的内容BASE64解码，读取解码结果。</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返回节点为”result”,值为S0000，表示成功；</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返回节点为”result”,值为其其它值（result &lt;&gt; S0000），表示失败。</w:t>
      </w:r>
    </w:p>
    <w:p>
      <w:pPr>
        <w:pStyle w:val="4"/>
        <w:spacing w:before="156" w:beforeLines="50" w:after="156" w:afterLines="50" w:line="0" w:lineRule="atLeast"/>
        <w:ind w:left="0" w:firstLine="0"/>
        <w:rPr>
          <w:rFonts w:ascii="微软雅黑" w:hAnsi="微软雅黑" w:eastAsia="微软雅黑" w:cs="微软雅黑"/>
        </w:rPr>
      </w:pPr>
      <w:bookmarkStart w:id="53" w:name="_Toc23333"/>
      <w:bookmarkStart w:id="54" w:name="_Toc16257"/>
      <w:bookmarkStart w:id="55" w:name="_Toc107826191"/>
      <w:r>
        <w:rPr>
          <w:rFonts w:hint="eastAsia" w:ascii="微软雅黑" w:hAnsi="微软雅黑" w:eastAsia="微软雅黑" w:cs="微软雅黑"/>
        </w:rPr>
        <w:t>签名规则</w:t>
      </w:r>
      <w:bookmarkEnd w:id="53"/>
      <w:bookmarkEnd w:id="54"/>
      <w:bookmarkEnd w:id="55"/>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为了防止用户信息被抓包获取后，进行信息篡改，需要对所有参数（不包括签名字段）进行签名加密。</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接口调用方和接口接收方对所有的参数节点，使键值对的格式key=value拼接字符串（键值对使用&amp;符号拼接），拼接字符串需要包含秘钥key值（“&amp;key=签名私钥key”字符串），根据最终字符串做MD5加密结果转成大写，生成签名串sign。</w:t>
      </w:r>
    </w:p>
    <w:p>
      <w:pPr>
        <w:pStyle w:val="5"/>
        <w:spacing w:before="156" w:beforeLines="50" w:after="156" w:afterLines="50" w:line="0" w:lineRule="atLeast"/>
        <w:ind w:left="0" w:firstLine="0"/>
        <w:rPr>
          <w:rFonts w:ascii="微软雅黑" w:hAnsi="微软雅黑" w:eastAsia="微软雅黑" w:cs="微软雅黑"/>
        </w:rPr>
      </w:pPr>
      <w:bookmarkStart w:id="56" w:name="_Toc14268"/>
      <w:bookmarkStart w:id="57" w:name="_Toc27152"/>
      <w:bookmarkStart w:id="58" w:name="_Toc107826192"/>
      <w:r>
        <w:rPr>
          <w:rFonts w:hint="eastAsia" w:ascii="微软雅黑" w:hAnsi="微软雅黑" w:eastAsia="微软雅黑" w:cs="微软雅黑"/>
        </w:rPr>
        <w:t>签名算法</w:t>
      </w:r>
      <w:bookmarkEnd w:id="56"/>
      <w:bookmarkEnd w:id="57"/>
      <w:bookmarkEnd w:id="58"/>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特别注意以下重要规则：</w:t>
      </w:r>
    </w:p>
    <w:p>
      <w:pPr>
        <w:pStyle w:val="106"/>
        <w:numPr>
          <w:ilvl w:val="0"/>
          <w:numId w:val="9"/>
        </w:numPr>
        <w:spacing w:before="156" w:beforeLines="50" w:after="156" w:afterLines="50" w:line="0" w:lineRule="atLeast"/>
        <w:ind w:left="0" w:firstLine="0" w:firstLineChars="0"/>
        <w:rPr>
          <w:rFonts w:ascii="微软雅黑" w:hAnsi="微软雅黑" w:eastAsia="微软雅黑" w:cs="微软雅黑"/>
        </w:rPr>
      </w:pPr>
      <w:r>
        <w:rPr>
          <w:rFonts w:hint="eastAsia" w:ascii="微软雅黑" w:hAnsi="微软雅黑" w:eastAsia="微软雅黑" w:cs="微软雅黑"/>
        </w:rPr>
        <w:t>参数名按固定顺序排序进行拼接；</w:t>
      </w:r>
    </w:p>
    <w:p>
      <w:pPr>
        <w:pStyle w:val="106"/>
        <w:numPr>
          <w:ilvl w:val="0"/>
          <w:numId w:val="9"/>
        </w:numPr>
        <w:spacing w:before="156" w:beforeLines="50" w:after="156" w:afterLines="50" w:line="0" w:lineRule="atLeast"/>
        <w:ind w:left="0" w:firstLine="0" w:firstLineChars="0"/>
        <w:rPr>
          <w:rFonts w:ascii="微软雅黑" w:hAnsi="微软雅黑" w:eastAsia="微软雅黑" w:cs="微软雅黑"/>
        </w:rPr>
      </w:pPr>
      <w:r>
        <w:rPr>
          <w:rFonts w:hint="eastAsia" w:ascii="微软雅黑" w:hAnsi="微软雅黑" w:eastAsia="微软雅黑" w:cs="微软雅黑"/>
        </w:rPr>
        <w:t>参数名区分大小写；</w:t>
      </w:r>
    </w:p>
    <w:p>
      <w:pPr>
        <w:pStyle w:val="106"/>
        <w:numPr>
          <w:ilvl w:val="0"/>
          <w:numId w:val="9"/>
        </w:numPr>
        <w:spacing w:before="156" w:beforeLines="50" w:after="156" w:afterLines="50" w:line="0" w:lineRule="atLeast"/>
        <w:ind w:left="0" w:firstLine="0" w:firstLineChars="0"/>
        <w:rPr>
          <w:rFonts w:ascii="微软雅黑" w:hAnsi="微软雅黑" w:eastAsia="微软雅黑" w:cs="微软雅黑"/>
        </w:rPr>
      </w:pPr>
      <w:r>
        <w:rPr>
          <w:rFonts w:hint="eastAsia" w:ascii="微软雅黑" w:hAnsi="微软雅黑" w:eastAsia="微软雅黑" w:cs="微软雅黑"/>
        </w:rPr>
        <w:t xml:space="preserve">传送的sign参数不参与签名。 </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例如待传送的参数如下：</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color w:val="000000" w:themeColor="text1"/>
          <w:sz w:val="21"/>
          <w14:textFill>
            <w14:solidFill>
              <w14:schemeClr w14:val="tx1"/>
            </w14:solidFill>
          </w14:textFill>
        </w:rPr>
      </w:pPr>
      <w:r>
        <w:rPr>
          <w:rFonts w:hint="eastAsia" w:ascii="微软雅黑" w:hAnsi="微软雅黑" w:eastAsia="微软雅黑" w:cs="微软雅黑"/>
          <w:color w:val="000000" w:themeColor="text1"/>
          <w:sz w:val="21"/>
          <w14:textFill>
            <w14:solidFill>
              <w14:schemeClr w14:val="tx1"/>
            </w14:solidFill>
          </w14:textFill>
        </w:rPr>
        <w:t xml:space="preserve"> "appid ": "app1 "</w:t>
      </w:r>
    </w:p>
    <w:p>
      <w:pPr>
        <w:spacing w:before="156" w:beforeLines="50" w:after="156" w:afterLines="50" w:line="0" w:lineRule="atLeast"/>
        <w:rPr>
          <w:rFonts w:ascii="微软雅黑" w:hAnsi="微软雅黑" w:eastAsia="微软雅黑" w:cs="微软雅黑"/>
          <w:color w:val="000000" w:themeColor="text1"/>
          <w:sz w:val="21"/>
          <w14:textFill>
            <w14:solidFill>
              <w14:schemeClr w14:val="tx1"/>
            </w14:solidFill>
          </w14:textFill>
        </w:rPr>
      </w:pPr>
      <w:r>
        <w:rPr>
          <w:rFonts w:hint="eastAsia" w:ascii="微软雅黑" w:hAnsi="微软雅黑" w:eastAsia="微软雅黑" w:cs="微软雅黑"/>
          <w:color w:val="000000" w:themeColor="text1"/>
          <w:sz w:val="21"/>
          <w14:textFill>
            <w14:solidFill>
              <w14:schemeClr w14:val="tx1"/>
            </w14:solidFill>
          </w14:textFill>
        </w:rPr>
        <w:t xml:space="preserve"> "data ":"ewogI ",-- 各接口参数内容做BASE64编码</w:t>
      </w:r>
    </w:p>
    <w:p>
      <w:pPr>
        <w:spacing w:before="156" w:beforeLines="50" w:after="156" w:afterLines="50" w:line="0" w:lineRule="atLeast"/>
        <w:rPr>
          <w:rFonts w:ascii="微软雅黑" w:hAnsi="微软雅黑" w:eastAsia="微软雅黑" w:cs="微软雅黑"/>
          <w:color w:val="000000" w:themeColor="text1"/>
          <w:sz w:val="21"/>
          <w14:textFill>
            <w14:solidFill>
              <w14:schemeClr w14:val="tx1"/>
            </w14:solidFill>
          </w14:textFill>
        </w:rPr>
      </w:pPr>
      <w:r>
        <w:rPr>
          <w:rFonts w:hint="eastAsia" w:ascii="微软雅黑" w:hAnsi="微软雅黑" w:eastAsia="微软雅黑" w:cs="微软雅黑"/>
          <w:color w:val="000000" w:themeColor="text1"/>
          <w:sz w:val="21"/>
          <w14:textFill>
            <w14:solidFill>
              <w14:schemeClr w14:val="tx1"/>
            </w14:solidFill>
          </w14:textFill>
        </w:rPr>
        <w:t xml:space="preserve"> "noise ":"ibuaiVcKdpRxkhJ ",</w:t>
      </w:r>
    </w:p>
    <w:p>
      <w:pPr>
        <w:spacing w:before="156" w:beforeLines="50" w:after="156" w:afterLines="50" w:line="0" w:lineRule="atLeast"/>
        <w:rPr>
          <w:rFonts w:ascii="微软雅黑" w:hAnsi="微软雅黑" w:eastAsia="微软雅黑" w:cs="微软雅黑"/>
          <w:color w:val="000000" w:themeColor="text1"/>
          <w:sz w:val="21"/>
          <w14:textFill>
            <w14:solidFill>
              <w14:schemeClr w14:val="tx1"/>
            </w14:solidFill>
          </w14:textFill>
        </w:rPr>
      </w:pPr>
      <w:r>
        <w:rPr>
          <w:rFonts w:hint="eastAsia" w:ascii="微软雅黑" w:hAnsi="微软雅黑" w:eastAsia="微软雅黑" w:cs="微软雅黑"/>
          <w:color w:val="000000" w:themeColor="text1"/>
          <w:sz w:val="21"/>
          <w14:textFill>
            <w14:solidFill>
              <w14:schemeClr w14:val="tx1"/>
            </w14:solidFill>
          </w14:textFill>
        </w:rPr>
        <w:t xml:space="preserve"> "version ": "1.0",</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rPr>
        <w:t>第一步：</w:t>
      </w:r>
      <w:r>
        <w:rPr>
          <w:rFonts w:hint="eastAsia" w:ascii="微软雅黑" w:hAnsi="微软雅黑" w:eastAsia="微软雅黑" w:cs="微软雅黑"/>
        </w:rPr>
        <w:t>对参数按照key=value的格式，并按照固定顺序排序如下：</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stringA="appid=app1&amp;data=ewogI&amp;noise=ibuaiVcKdpRxkhJA"。</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rPr>
        <w:t>第二步：</w:t>
      </w:r>
      <w:r>
        <w:rPr>
          <w:rFonts w:hint="eastAsia" w:ascii="微软雅黑" w:hAnsi="微软雅黑" w:eastAsia="微软雅黑" w:cs="微软雅黑"/>
        </w:rPr>
        <w:t>拼接API密钥和版本号：</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stringSignTemp=stringA+"&amp;key=192006250b4c09247ec02f6a2d&amp;version=1.0" //注：key为接口提供方发放的签名私钥key。</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sign=MD5(stringSignTemp).toUpperCase()="E9324CF02F95CB072B6DBCEA33E725C3 " //注：MD5签名方式。</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rPr>
        <w:t>第三步：</w:t>
      </w:r>
      <w:r>
        <w:rPr>
          <w:rFonts w:hint="eastAsia" w:ascii="微软雅黑" w:hAnsi="微软雅黑" w:eastAsia="微软雅黑" w:cs="微软雅黑"/>
        </w:rPr>
        <w:t>最终得到发送的数据：</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"appid":"app1"</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"data": "ewogI",-- 各接口参数内容做BASE64编码</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"noise": "ibuaiVcKdpRxkhJA",</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"version": "1.0",</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"sign": "E9324CF02F95CB072B6DBCEA33E725C3"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pStyle w:val="5"/>
        <w:spacing w:before="156" w:beforeLines="50" w:after="156" w:afterLines="50" w:line="0" w:lineRule="atLeast"/>
        <w:ind w:left="0" w:firstLine="0"/>
        <w:rPr>
          <w:rFonts w:ascii="微软雅黑" w:hAnsi="微软雅黑" w:eastAsia="微软雅黑" w:cs="微软雅黑"/>
        </w:rPr>
      </w:pPr>
      <w:bookmarkStart w:id="59" w:name="_Toc17343"/>
      <w:bookmarkStart w:id="60" w:name="_Toc107826193"/>
      <w:bookmarkStart w:id="61" w:name="_Toc7378"/>
      <w:r>
        <w:rPr>
          <w:rFonts w:hint="eastAsia" w:ascii="微软雅黑" w:hAnsi="微软雅黑" w:eastAsia="微软雅黑" w:cs="微软雅黑"/>
        </w:rPr>
        <w:t>请求随机标识算法</w:t>
      </w:r>
      <w:bookmarkEnd w:id="59"/>
      <w:bookmarkEnd w:id="60"/>
      <w:bookmarkEnd w:id="61"/>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API接口协议中包含字段noise，主要保证签名不可预测。我们推荐生成随机数算法如下：调用随机数函数生成或当前时间戳，将得到的值转换为字符串。</w:t>
      </w:r>
    </w:p>
    <w:p>
      <w:pPr>
        <w:pStyle w:val="4"/>
        <w:spacing w:before="156" w:beforeLines="50" w:after="156" w:afterLines="50" w:line="0" w:lineRule="atLeast"/>
        <w:ind w:left="0" w:firstLine="0"/>
        <w:rPr>
          <w:rFonts w:ascii="微软雅黑" w:hAnsi="微软雅黑" w:eastAsia="微软雅黑" w:cs="微软雅黑"/>
        </w:rPr>
      </w:pPr>
      <w:bookmarkStart w:id="62" w:name="_Toc472521007"/>
      <w:bookmarkEnd w:id="62"/>
      <w:bookmarkStart w:id="63" w:name="_HTTP请求参数构成"/>
      <w:bookmarkEnd w:id="63"/>
      <w:bookmarkStart w:id="64" w:name="_Toc25900"/>
      <w:bookmarkStart w:id="65" w:name="_Toc107826194"/>
      <w:bookmarkStart w:id="66" w:name="_Toc8787"/>
      <w:r>
        <w:rPr>
          <w:rFonts w:hint="eastAsia" w:ascii="微软雅黑" w:hAnsi="微软雅黑" w:eastAsia="微软雅黑" w:cs="微软雅黑"/>
        </w:rPr>
        <w:t>请求与返回参数构成</w:t>
      </w:r>
      <w:bookmarkEnd w:id="64"/>
      <w:bookmarkEnd w:id="65"/>
      <w:bookmarkEnd w:id="66"/>
    </w:p>
    <w:p>
      <w:pPr>
        <w:numPr>
          <w:ilvl w:val="0"/>
          <w:numId w:val="10"/>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请求URL：</w:t>
      </w:r>
      <w:r>
        <w:fldChar w:fldCharType="begin"/>
      </w:r>
      <w:r>
        <w:instrText xml:space="preserve"> HYPERLINK "http://[ip]:[port]/%5bservice%5d/api/hospital/%20v1/%20%5brest-api" </w:instrText>
      </w:r>
      <w:r>
        <w:fldChar w:fldCharType="separate"/>
      </w:r>
      <w:r>
        <w:rPr>
          <w:rStyle w:val="42"/>
          <w:rFonts w:hint="eastAsia" w:ascii="微软雅黑" w:hAnsi="微软雅黑" w:eastAsia="微软雅黑" w:cs="微软雅黑"/>
        </w:rPr>
        <w:t>http://[ip]:[port]/[service]/api/medical/ [接口服务标识</w:t>
      </w:r>
      <w:r>
        <w:rPr>
          <w:rStyle w:val="42"/>
          <w:rFonts w:ascii="微软雅黑" w:hAnsi="微软雅黑" w:eastAsia="微软雅黑" w:cs="微软雅黑"/>
        </w:rPr>
        <w:fldChar w:fldCharType="end"/>
      </w:r>
      <w:r>
        <w:rPr>
          <w:rStyle w:val="42"/>
          <w:rFonts w:hint="eastAsia" w:ascii="微软雅黑" w:hAnsi="微软雅黑" w:eastAsia="微软雅黑" w:cs="微软雅黑"/>
        </w:rPr>
        <w:t>]</w:t>
      </w:r>
    </w:p>
    <w:p>
      <w:pPr>
        <w:numPr>
          <w:ilvl w:val="0"/>
          <w:numId w:val="11"/>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ip和port：由平台提供，为实际部署环境</w:t>
      </w:r>
    </w:p>
    <w:p>
      <w:pPr>
        <w:numPr>
          <w:ilvl w:val="0"/>
          <w:numId w:val="11"/>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service：由平台提供，为实际部署服务名称</w:t>
      </w:r>
    </w:p>
    <w:p>
      <w:pPr>
        <w:numPr>
          <w:ilvl w:val="0"/>
          <w:numId w:val="12"/>
        </w:numPr>
        <w:tabs>
          <w:tab w:val="left" w:pos="531"/>
        </w:tabs>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接口服务标识：参考各接口中对应的服务标识</w:t>
      </w:r>
    </w:p>
    <w:p>
      <w:pPr>
        <w:numPr>
          <w:ilvl w:val="0"/>
          <w:numId w:val="10"/>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请求提交方式：POST</w:t>
      </w:r>
    </w:p>
    <w:p>
      <w:pPr>
        <w:numPr>
          <w:ilvl w:val="0"/>
          <w:numId w:val="10"/>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请求参数数据格式：以JSON封装如</w:t>
      </w:r>
    </w:p>
    <w:p>
      <w:pPr>
        <w:numPr>
          <w:ilvl w:val="0"/>
          <w:numId w:val="11"/>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请求参数示例：</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JSON中data参数明文内容：</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"appid": "7e7f4e61189145c1a5c2cce38a4219b3",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"data": {</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"billBatchCode": "0100000100",</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"billNo": " 0000000001",</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"random": "DFG456"</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"noise": "ibuaiVcKdpRxkhJAXXXX",</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"version": "1.0",</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"sign": "E9324CF02F95CB072B6DBCEA33E725C3"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JSON中data参数最终请求内容，data对应的原json格式内容做base64：</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"appid": "7e7f4e61189145c1a5c2cce38a4219b3",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"data": "ewogICAgICAgICJlQmlsbEJhdGNoQ29kZSI6ICIwMTAwMDAwMTAwIiwKICAgICAgICAiZUJpbGxObyI6ICIwMDAwMDAwMDAxIiwKICAgICAgICAiZVJhbmRvbSI6ICJERkc0NTYiCiB9",</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"noise": "ibuaiVcKdpRxkhJAXXXXX",</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"version": "1.0",</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"sign": "E9324CF02F95CB072B6DBCEA33E725C3"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numPr>
          <w:ilvl w:val="0"/>
          <w:numId w:val="11"/>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返回参数示例：</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JSON中data参数明文内容：</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"data": {</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"result": "E0001",--除S0000表示成功标识，其它都为错误标识</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"message": "BASE64(错误信息)"</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"noise": "ibuaiVcKdpRxkhJAXXXX",</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"sign": "E9324CF02F95CB072B6DBCEA33E725C3"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JSON中data参数最终返回内容，base64：</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"data": "ewogICAgICAgICJlQmlsbEJhdGNoQ29kZSI6ICIwMTAwMDAwMTAwIiwKICAgICAgICAiZUJpbGxObyI6ICIwMDAwMDAwMDAxIiwKICAgICAgICAiZVJhbmRvbSI6ICJERkc0NTYiCiB9",</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"noise": "ibuaiVcKdpRxkhJAXXXX",</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 xml:space="preserve">    "sign": "E9324CF02F95CB072B6DBCEA33E725C3"</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w:t>
      </w:r>
    </w:p>
    <w:p>
      <w:pPr>
        <w:pStyle w:val="4"/>
        <w:spacing w:before="156" w:beforeLines="50" w:after="156" w:afterLines="50" w:line="0" w:lineRule="atLeast"/>
        <w:ind w:left="0" w:firstLine="0"/>
        <w:rPr>
          <w:rFonts w:ascii="微软雅黑" w:hAnsi="微软雅黑" w:eastAsia="微软雅黑" w:cs="微软雅黑"/>
        </w:rPr>
      </w:pPr>
      <w:bookmarkStart w:id="67" w:name="_Toc107826195"/>
      <w:bookmarkStart w:id="68" w:name="_Toc7330"/>
      <w:bookmarkStart w:id="69" w:name="_Toc11452"/>
      <w:r>
        <w:rPr>
          <w:rFonts w:hint="eastAsia" w:ascii="微软雅黑" w:hAnsi="微软雅黑" w:eastAsia="微软雅黑" w:cs="微软雅黑"/>
        </w:rPr>
        <w:t>通用失败应答</w:t>
      </w:r>
      <w:bookmarkEnd w:id="67"/>
      <w:bookmarkEnd w:id="68"/>
      <w:bookmarkEnd w:id="6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所有接口返回失败信息格式，节点：返回参数data内容，适用于所有API。</w:t>
      </w:r>
    </w:p>
    <w:tbl>
      <w:tblPr>
        <w:tblStyle w:val="35"/>
        <w:tblW w:w="8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1985"/>
        <w:gridCol w:w="1172"/>
        <w:gridCol w:w="990"/>
        <w:gridCol w:w="1005"/>
        <w:gridCol w:w="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9"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参数</w:t>
            </w:r>
          </w:p>
        </w:tc>
        <w:tc>
          <w:tcPr>
            <w:tcW w:w="1985"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描述</w:t>
            </w:r>
          </w:p>
        </w:tc>
        <w:tc>
          <w:tcPr>
            <w:tcW w:w="1172"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类型</w:t>
            </w:r>
          </w:p>
        </w:tc>
        <w:tc>
          <w:tcPr>
            <w:tcW w:w="990"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长度</w:t>
            </w:r>
          </w:p>
        </w:tc>
        <w:tc>
          <w:tcPr>
            <w:tcW w:w="1005"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必填</w:t>
            </w:r>
          </w:p>
        </w:tc>
        <w:tc>
          <w:tcPr>
            <w:tcW w:w="2176"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result</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返回结果标识</w:t>
            </w:r>
          </w:p>
        </w:tc>
        <w:tc>
          <w:tcPr>
            <w:tcW w:w="1172"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String</w:t>
            </w:r>
          </w:p>
        </w:tc>
        <w:tc>
          <w:tcPr>
            <w:tcW w:w="9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10</w:t>
            </w:r>
          </w:p>
        </w:tc>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是</w:t>
            </w:r>
          </w:p>
        </w:tc>
        <w:tc>
          <w:tcPr>
            <w:tcW w:w="2176"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除S0000代码值之外的代码，都表示失败：如E0001等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message</w:t>
            </w:r>
          </w:p>
        </w:tc>
        <w:tc>
          <w:tcPr>
            <w:tcW w:w="198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返回结果内容</w:t>
            </w:r>
          </w:p>
        </w:tc>
        <w:tc>
          <w:tcPr>
            <w:tcW w:w="1172"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String</w:t>
            </w:r>
          </w:p>
        </w:tc>
        <w:tc>
          <w:tcPr>
            <w:tcW w:w="990"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不限</w:t>
            </w:r>
          </w:p>
        </w:tc>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是</w:t>
            </w:r>
          </w:p>
        </w:tc>
        <w:tc>
          <w:tcPr>
            <w:tcW w:w="2176" w:type="dxa"/>
            <w:tcBorders>
              <w:top w:val="single" w:color="auto" w:sz="4" w:space="0"/>
              <w:left w:val="single" w:color="auto" w:sz="4" w:space="0"/>
              <w:bottom w:val="single" w:color="auto" w:sz="4" w:space="0"/>
              <w:right w:val="single" w:color="auto" w:sz="4" w:space="0"/>
            </w:tcBorders>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color w:val="000000"/>
                <w:sz w:val="21"/>
                <w:lang w:bidi="ar"/>
              </w:rPr>
              <w:t>BASE64</w:t>
            </w:r>
            <w:r>
              <w:rPr>
                <w:rFonts w:hint="eastAsia" w:ascii="微软雅黑" w:hAnsi="微软雅黑" w:eastAsia="微软雅黑" w:cs="微软雅黑"/>
                <w:sz w:val="21"/>
                <w:lang w:bidi="ar"/>
              </w:rPr>
              <w:t>(错误信息)</w:t>
            </w:r>
          </w:p>
        </w:tc>
      </w:tr>
    </w:tbl>
    <w:p>
      <w:pPr>
        <w:pStyle w:val="4"/>
        <w:spacing w:before="156" w:beforeLines="50" w:after="156" w:afterLines="50" w:line="0" w:lineRule="atLeast"/>
        <w:ind w:left="0" w:firstLine="0"/>
        <w:rPr>
          <w:rFonts w:ascii="微软雅黑" w:hAnsi="微软雅黑" w:eastAsia="微软雅黑" w:cs="微软雅黑"/>
        </w:rPr>
      </w:pPr>
      <w:bookmarkStart w:id="70" w:name="_Toc107826196"/>
      <w:bookmarkStart w:id="71" w:name="_Toc7649"/>
      <w:bookmarkStart w:id="72" w:name="_Toc8386"/>
      <w:r>
        <w:rPr>
          <w:rFonts w:hint="eastAsia" w:ascii="微软雅黑" w:hAnsi="微软雅黑" w:eastAsia="微软雅黑" w:cs="微软雅黑"/>
        </w:rPr>
        <w:t>通用成功应答</w:t>
      </w:r>
      <w:bookmarkEnd w:id="70"/>
      <w:bookmarkEnd w:id="71"/>
      <w:bookmarkEnd w:id="72"/>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通用返回成功信息格式，节点：返回参数data内容，适用于所有API。</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注：在各个API中返回结果参数message参数为便于解读，参数示例中使用base64解码之后的结果作为示例说明</w:t>
      </w:r>
    </w:p>
    <w:tbl>
      <w:tblPr>
        <w:tblStyle w:val="35"/>
        <w:tblW w:w="89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1985"/>
        <w:gridCol w:w="1172"/>
        <w:gridCol w:w="990"/>
        <w:gridCol w:w="1005"/>
        <w:gridCol w:w="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9"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参数</w:t>
            </w:r>
          </w:p>
        </w:tc>
        <w:tc>
          <w:tcPr>
            <w:tcW w:w="1985"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描述</w:t>
            </w:r>
          </w:p>
        </w:tc>
        <w:tc>
          <w:tcPr>
            <w:tcW w:w="1172"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类型</w:t>
            </w:r>
          </w:p>
        </w:tc>
        <w:tc>
          <w:tcPr>
            <w:tcW w:w="990"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长度</w:t>
            </w:r>
          </w:p>
        </w:tc>
        <w:tc>
          <w:tcPr>
            <w:tcW w:w="1005"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必填</w:t>
            </w:r>
          </w:p>
        </w:tc>
        <w:tc>
          <w:tcPr>
            <w:tcW w:w="2176"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result</w:t>
            </w:r>
          </w:p>
        </w:tc>
        <w:tc>
          <w:tcPr>
            <w:tcW w:w="1985"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返回结果标识</w:t>
            </w:r>
          </w:p>
        </w:tc>
        <w:tc>
          <w:tcPr>
            <w:tcW w:w="1172"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String</w:t>
            </w:r>
          </w:p>
        </w:tc>
        <w:tc>
          <w:tcPr>
            <w:tcW w:w="990"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10</w:t>
            </w:r>
          </w:p>
        </w:tc>
        <w:tc>
          <w:tcPr>
            <w:tcW w:w="1005"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是</w:t>
            </w:r>
          </w:p>
        </w:tc>
        <w:tc>
          <w:tcPr>
            <w:tcW w:w="2176"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message</w:t>
            </w:r>
          </w:p>
        </w:tc>
        <w:tc>
          <w:tcPr>
            <w:tcW w:w="1985"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返回结果内容</w:t>
            </w:r>
          </w:p>
        </w:tc>
        <w:tc>
          <w:tcPr>
            <w:tcW w:w="1172"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String</w:t>
            </w:r>
          </w:p>
        </w:tc>
        <w:tc>
          <w:tcPr>
            <w:tcW w:w="990"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不限</w:t>
            </w:r>
          </w:p>
        </w:tc>
        <w:tc>
          <w:tcPr>
            <w:tcW w:w="1005"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lang w:bidi="ar"/>
              </w:rPr>
              <w:t>是</w:t>
            </w:r>
          </w:p>
        </w:tc>
        <w:tc>
          <w:tcPr>
            <w:tcW w:w="2176"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color w:val="000000"/>
                <w:sz w:val="21"/>
                <w:lang w:bidi="ar"/>
              </w:rPr>
              <w:t>BASE64</w:t>
            </w:r>
            <w:r>
              <w:rPr>
                <w:rFonts w:hint="eastAsia" w:ascii="微软雅黑" w:hAnsi="微软雅黑" w:eastAsia="微软雅黑" w:cs="微软雅黑"/>
                <w:sz w:val="21"/>
                <w:lang w:bidi="ar"/>
              </w:rPr>
              <w:t>(成功信息)</w:t>
            </w:r>
          </w:p>
        </w:tc>
      </w:tr>
      <w:bookmarkEnd w:id="38"/>
    </w:tbl>
    <w:p>
      <w:pPr>
        <w:pStyle w:val="4"/>
        <w:spacing w:before="156" w:beforeLines="50" w:after="156" w:afterLines="50" w:line="0" w:lineRule="atLeast"/>
        <w:ind w:left="0" w:firstLine="0"/>
        <w:rPr>
          <w:rFonts w:ascii="微软雅黑" w:hAnsi="微软雅黑" w:eastAsia="微软雅黑" w:cs="微软雅黑"/>
        </w:rPr>
      </w:pPr>
      <w:bookmarkStart w:id="73" w:name="_Toc23467"/>
      <w:bookmarkStart w:id="74" w:name="_Toc107826197"/>
      <w:r>
        <w:rPr>
          <w:rFonts w:hint="eastAsia" w:ascii="微软雅黑" w:hAnsi="微软雅黑" w:eastAsia="微软雅黑" w:cs="微软雅黑"/>
        </w:rPr>
        <w:t>参数数据类型约定</w:t>
      </w:r>
      <w:bookmarkEnd w:id="73"/>
      <w:bookmarkEnd w:id="74"/>
    </w:p>
    <w:tbl>
      <w:tblPr>
        <w:tblStyle w:val="35"/>
        <w:tblW w:w="90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1561"/>
        <w:gridCol w:w="1823"/>
        <w:gridCol w:w="3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9"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rPr>
              <w:t>数据类型</w:t>
            </w:r>
          </w:p>
        </w:tc>
        <w:tc>
          <w:tcPr>
            <w:tcW w:w="1561"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描述</w:t>
            </w:r>
          </w:p>
        </w:tc>
        <w:tc>
          <w:tcPr>
            <w:tcW w:w="1823"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lang w:bidi="ar"/>
              </w:rPr>
              <w:t>默认值</w:t>
            </w:r>
          </w:p>
        </w:tc>
        <w:tc>
          <w:tcPr>
            <w:tcW w:w="3967"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rPr>
            </w:pPr>
            <w:r>
              <w:rPr>
                <w:rFonts w:hint="eastAsia" w:ascii="微软雅黑" w:hAnsi="微软雅黑" w:eastAsia="微软雅黑" w:cs="微软雅黑"/>
                <w:b/>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JSONObject</w:t>
            </w:r>
          </w:p>
        </w:tc>
        <w:tc>
          <w:tcPr>
            <w:tcW w:w="1561"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JSON对象</w:t>
            </w:r>
          </w:p>
        </w:tc>
        <w:tc>
          <w:tcPr>
            <w:tcW w:w="1823"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w:t>
            </w:r>
          </w:p>
        </w:tc>
        <w:tc>
          <w:tcPr>
            <w:tcW w:w="3967"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JSONArray</w:t>
            </w:r>
          </w:p>
        </w:tc>
        <w:tc>
          <w:tcPr>
            <w:tcW w:w="1561"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JSON数组</w:t>
            </w:r>
          </w:p>
        </w:tc>
        <w:tc>
          <w:tcPr>
            <w:tcW w:w="1823"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w:t>
            </w:r>
          </w:p>
        </w:tc>
        <w:tc>
          <w:tcPr>
            <w:tcW w:w="3967"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数组中不允许使用混合类型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Number</w:t>
            </w:r>
          </w:p>
        </w:tc>
        <w:tc>
          <w:tcPr>
            <w:tcW w:w="1561"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浮点型</w:t>
            </w:r>
          </w:p>
        </w:tc>
        <w:tc>
          <w:tcPr>
            <w:tcW w:w="1823"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按照精度填写</w:t>
            </w:r>
          </w:p>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如格式：14,2</w:t>
            </w:r>
          </w:p>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默认值：0.00</w:t>
            </w:r>
          </w:p>
        </w:tc>
        <w:tc>
          <w:tcPr>
            <w:tcW w:w="3967"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精度:14,2-》表示值最多14位（含小数位），且小数位最多2位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Integer</w:t>
            </w:r>
          </w:p>
        </w:tc>
        <w:tc>
          <w:tcPr>
            <w:tcW w:w="1561"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整型</w:t>
            </w:r>
          </w:p>
        </w:tc>
        <w:tc>
          <w:tcPr>
            <w:tcW w:w="1823"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0</w:t>
            </w:r>
          </w:p>
        </w:tc>
        <w:tc>
          <w:tcPr>
            <w:tcW w:w="3967"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String</w:t>
            </w:r>
          </w:p>
        </w:tc>
        <w:tc>
          <w:tcPr>
            <w:tcW w:w="1561"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字符串</w:t>
            </w:r>
          </w:p>
        </w:tc>
        <w:tc>
          <w:tcPr>
            <w:tcW w:w="1823"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空字符串</w:t>
            </w:r>
          </w:p>
        </w:tc>
        <w:tc>
          <w:tcPr>
            <w:tcW w:w="3967"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 w:val="21"/>
                <w:szCs w:val="21"/>
              </w:rPr>
              <w:t>不允许直接返回NULL</w:t>
            </w:r>
          </w:p>
        </w:tc>
      </w:tr>
    </w:tbl>
    <w:p>
      <w:pPr>
        <w:pStyle w:val="2"/>
        <w:spacing w:before="156" w:beforeLines="50" w:after="156" w:afterLines="50" w:line="0" w:lineRule="atLeast"/>
        <w:ind w:left="0" w:firstLine="0"/>
        <w:rPr>
          <w:rFonts w:ascii="微软雅黑" w:hAnsi="微软雅黑" w:eastAsia="微软雅黑" w:cs="微软雅黑"/>
        </w:rPr>
      </w:pPr>
      <w:bookmarkStart w:id="75" w:name="_Toc13255"/>
      <w:r>
        <w:rPr>
          <w:rFonts w:hint="eastAsia" w:ascii="微软雅黑" w:hAnsi="微软雅黑" w:eastAsia="微软雅黑" w:cs="微软雅黑"/>
        </w:rPr>
        <w:t>业务流程</w:t>
      </w:r>
      <w:bookmarkEnd w:id="9"/>
      <w:bookmarkEnd w:id="75"/>
    </w:p>
    <w:p>
      <w:pPr>
        <w:pStyle w:val="4"/>
        <w:spacing w:before="156" w:beforeLines="50" w:after="156" w:afterLines="50" w:line="0" w:lineRule="atLeast"/>
        <w:ind w:left="0" w:firstLine="0"/>
        <w:rPr>
          <w:rFonts w:ascii="微软雅黑" w:hAnsi="微软雅黑" w:eastAsia="微软雅黑" w:cs="微软雅黑"/>
        </w:rPr>
      </w:pPr>
      <w:bookmarkStart w:id="76" w:name="_Toc8877"/>
      <w:bookmarkStart w:id="77" w:name="_Toc13531"/>
      <w:r>
        <w:rPr>
          <w:rFonts w:hint="eastAsia" w:ascii="微软雅黑" w:hAnsi="微软雅黑" w:eastAsia="微软雅黑" w:cs="微软雅黑"/>
        </w:rPr>
        <w:t>接口列表</w:t>
      </w:r>
      <w:bookmarkEnd w:id="76"/>
      <w:bookmarkEnd w:id="7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注：财务入账、数据核对类接口，可根据医院财务实际需求进行对接</w:t>
      </w:r>
    </w:p>
    <w:tbl>
      <w:tblPr>
        <w:tblStyle w:val="35"/>
        <w:tblW w:w="9675" w:type="dxa"/>
        <w:tblInd w:w="-18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
        <w:gridCol w:w="3326"/>
        <w:gridCol w:w="2885"/>
        <w:gridCol w:w="2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936" w:type="dxa"/>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sz w:val="21"/>
                <w:szCs w:val="21"/>
                <w:lang w:bidi="ar"/>
              </w:rPr>
            </w:pPr>
            <w:bookmarkStart w:id="78" w:name="_API列表"/>
            <w:bookmarkEnd w:id="78"/>
            <w:r>
              <w:rPr>
                <w:rFonts w:hint="eastAsia" w:ascii="微软雅黑" w:hAnsi="微软雅黑" w:eastAsia="微软雅黑" w:cs="微软雅黑"/>
                <w:b/>
                <w:sz w:val="21"/>
                <w:szCs w:val="21"/>
                <w:lang w:bidi="ar"/>
              </w:rPr>
              <w:t>类别</w:t>
            </w:r>
          </w:p>
        </w:tc>
        <w:tc>
          <w:tcPr>
            <w:tcW w:w="3326" w:type="dxa"/>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sz w:val="21"/>
                <w:szCs w:val="21"/>
                <w:lang w:bidi="ar"/>
              </w:rPr>
            </w:pPr>
            <w:r>
              <w:rPr>
                <w:rFonts w:hint="eastAsia" w:ascii="微软雅黑" w:hAnsi="微软雅黑" w:eastAsia="微软雅黑" w:cs="微软雅黑"/>
                <w:b/>
                <w:sz w:val="21"/>
                <w:szCs w:val="21"/>
                <w:lang w:bidi="ar"/>
              </w:rPr>
              <w:t>接口名称</w:t>
            </w:r>
          </w:p>
        </w:tc>
        <w:tc>
          <w:tcPr>
            <w:tcW w:w="2885" w:type="dxa"/>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sz w:val="21"/>
                <w:szCs w:val="21"/>
                <w:lang w:bidi="ar"/>
              </w:rPr>
            </w:pPr>
            <w:r>
              <w:rPr>
                <w:rFonts w:hint="eastAsia" w:ascii="微软雅黑" w:hAnsi="微软雅黑" w:eastAsia="微软雅黑" w:cs="微软雅黑"/>
                <w:b/>
                <w:sz w:val="21"/>
                <w:szCs w:val="21"/>
                <w:lang w:bidi="ar"/>
              </w:rPr>
              <w:t>接口服务标识</w:t>
            </w:r>
          </w:p>
        </w:tc>
        <w:tc>
          <w:tcPr>
            <w:tcW w:w="2528" w:type="dxa"/>
            <w:shd w:val="clear" w:color="auto" w:fill="D8D8D8" w:themeFill="background1" w:themeFillShade="D9"/>
          </w:tcPr>
          <w:p>
            <w:pPr>
              <w:spacing w:before="156" w:beforeLines="50" w:after="156" w:afterLines="50" w:line="0" w:lineRule="atLeast"/>
              <w:jc w:val="center"/>
              <w:rPr>
                <w:rFonts w:ascii="微软雅黑" w:hAnsi="微软雅黑" w:eastAsia="微软雅黑" w:cs="微软雅黑"/>
                <w:b/>
                <w:sz w:val="21"/>
                <w:szCs w:val="21"/>
                <w:lang w:bidi="ar"/>
              </w:rPr>
            </w:pPr>
            <w:r>
              <w:rPr>
                <w:rFonts w:hint="eastAsia" w:ascii="微软雅黑" w:hAnsi="微软雅黑" w:eastAsia="微软雅黑" w:cs="微软雅黑"/>
                <w:b/>
                <w:sz w:val="21"/>
                <w:szCs w:val="21"/>
                <w:lang w:bidi="ar"/>
              </w:rPr>
              <w:t>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936" w:type="dxa"/>
            <w:shd w:val="clear" w:color="auto" w:fill="auto"/>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其它</w:t>
            </w:r>
          </w:p>
        </w:tc>
        <w:tc>
          <w:tcPr>
            <w:tcW w:w="3326" w:type="dxa"/>
            <w:shd w:val="clear" w:color="auto" w:fill="auto"/>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"_服务端连接测试接口"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服务端连接测试接口</w:t>
            </w:r>
            <w:r>
              <w:rPr>
                <w:rFonts w:hint="eastAsia" w:ascii="微软雅黑" w:hAnsi="微软雅黑" w:eastAsia="微软雅黑" w:cs="微软雅黑"/>
                <w:lang w:val="en-US" w:eastAsia="zh-CN"/>
              </w:rPr>
              <w:fldChar w:fldCharType="end"/>
            </w:r>
          </w:p>
        </w:tc>
        <w:tc>
          <w:tcPr>
            <w:tcW w:w="2885" w:type="dxa"/>
            <w:shd w:val="clear" w:color="auto" w:fill="auto"/>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testServerConnect</w:t>
            </w:r>
          </w:p>
        </w:tc>
        <w:tc>
          <w:tcPr>
            <w:tcW w:w="2528" w:type="dxa"/>
            <w:shd w:val="clear" w:color="auto" w:fill="auto"/>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联调阶段前期测试使用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trPr>
        <w:tc>
          <w:tcPr>
            <w:tcW w:w="936" w:type="dxa"/>
            <w:vMerge w:val="restart"/>
            <w:vAlign w:val="center"/>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电子票据</w:t>
            </w: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"_医疗门诊电子票据开具接口"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医疗门诊电子票据开具接口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invoiceEBillOutpatient</w:t>
            </w:r>
          </w:p>
        </w:tc>
        <w:tc>
          <w:tcPr>
            <w:tcW w:w="2528" w:type="dxa"/>
            <w:vMerge w:val="restart"/>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业务系统收费结算成功时，请求接口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8"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"_医疗住院电子票据开具接口"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医疗住院电子票据开具接口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invEBillHospitalized</w:t>
            </w:r>
          </w:p>
        </w:tc>
        <w:tc>
          <w:tcPr>
            <w:tcW w:w="2528" w:type="dxa"/>
            <w:vMerge w:val="continue"/>
          </w:tcPr>
          <w:p>
            <w:pPr>
              <w:bidi w:val="0"/>
              <w:rPr>
                <w:rFonts w:hint="eastAsia" w:ascii="微软雅黑" w:hAnsi="微软雅黑" w:eastAsia="微软雅黑" w:cs="微软雅黑"/>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"_批量医疗门诊电子票据开具接口"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批量医疗门诊电子票据开具接口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batchInvoiceEBillOutpatient</w:t>
            </w:r>
          </w:p>
        </w:tc>
        <w:tc>
          <w:tcPr>
            <w:tcW w:w="2528" w:type="dxa"/>
            <w:vMerge w:val="restart"/>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业务系统收费结算成功时，无法请求医疗平台，可后期定时批量开具，请求接口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1"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"_批量医疗住院电子票据开具接口"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批量医疗住院电子票据开具接口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batchInvoiceEBillHospitalized</w:t>
            </w:r>
          </w:p>
        </w:tc>
        <w:tc>
          <w:tcPr>
            <w:tcW w:w="2528" w:type="dxa"/>
            <w:vMerge w:val="continue"/>
          </w:tcPr>
          <w:p>
            <w:pPr>
              <w:bidi w:val="0"/>
              <w:rPr>
                <w:rFonts w:hint="eastAsia" w:ascii="微软雅黑" w:hAnsi="微软雅黑" w:eastAsia="微软雅黑" w:cs="微软雅黑"/>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"_批量医疗电子票据开具结果查询接口"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批量医疗电子票据开具结果查询接口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getBatchInvoiceEBill</w:t>
            </w:r>
          </w:p>
        </w:tc>
        <w:tc>
          <w:tcPr>
            <w:tcW w:w="2528"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匹配批量开具接口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4"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"_电子票据冲红接口"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电子票据冲红接口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writeOffEBill </w:t>
            </w:r>
          </w:p>
        </w:tc>
        <w:tc>
          <w:tcPr>
            <w:tcW w:w="2528"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业务系统退费成功时，请求接口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6" w:type="dxa"/>
            <w:vMerge w:val="continue"/>
            <w:vAlign w:val="center"/>
          </w:tcPr>
          <w:p>
            <w:pPr>
              <w:bidi w:val="0"/>
              <w:rPr>
                <w:rFonts w:hint="eastAsia" w:ascii="微软雅黑" w:hAnsi="微软雅黑" w:eastAsia="微软雅黑" w:cs="微软雅黑"/>
                <w:lang w:val="en-US" w:eastAsia="zh-CN"/>
              </w:rPr>
            </w:pPr>
            <w:bookmarkStart w:id="79" w:name="OLE_LINK39" w:colFirst="1" w:colLast="2"/>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"_1004根据业务流水号获取开票结果"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根据业务流水号获取开票情况接口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getEBillByBusNo</w:t>
            </w:r>
          </w:p>
        </w:tc>
        <w:tc>
          <w:tcPr>
            <w:tcW w:w="2528"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业务系统请求开具未接收到返回结果，请求接口</w:t>
            </w:r>
          </w:p>
        </w:tc>
      </w:tr>
      <w:bookmarkEnd w:id="7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936" w:type="dxa"/>
            <w:vMerge w:val="continue"/>
            <w:vAlign w:val="center"/>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"_根据电子票信息获取电子票据状态接口"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根据电子票信息获取电子票据状态接口</w:t>
            </w:r>
            <w:r>
              <w:rPr>
                <w:rFonts w:hint="eastAsia" w:ascii="微软雅黑" w:hAnsi="微软雅黑" w:eastAsia="微软雅黑" w:cs="微软雅黑"/>
                <w:lang w:val="en-US" w:eastAsia="zh-CN"/>
              </w:rPr>
              <w:fldChar w:fldCharType="end"/>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getEBillStatesByBillInfo</w:t>
            </w:r>
          </w:p>
        </w:tc>
        <w:tc>
          <w:tcPr>
            <w:tcW w:w="2528"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业务系统需查看电子票据状态，请求接口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6" w:type="dxa"/>
            <w:vMerge w:val="restart"/>
          </w:tcPr>
          <w:p>
            <w:pPr>
              <w:bidi w:val="0"/>
              <w:rPr>
                <w:rFonts w:hint="eastAsia" w:ascii="微软雅黑" w:hAnsi="微软雅黑" w:eastAsia="微软雅黑" w:cs="微软雅黑"/>
                <w:lang w:val="en-US" w:eastAsia="zh-CN"/>
              </w:rPr>
            </w:pPr>
            <w:bookmarkStart w:id="80" w:name="OLE_LINK46" w:colFirst="1" w:colLast="2"/>
            <w:r>
              <w:rPr>
                <w:rFonts w:hint="eastAsia" w:ascii="微软雅黑" w:hAnsi="微软雅黑" w:eastAsia="微软雅黑" w:cs="微软雅黑"/>
                <w:lang w:val="en-US" w:eastAsia="zh-CN"/>
              </w:rPr>
              <w:t>打印通知</w:t>
            </w:r>
          </w:p>
        </w:tc>
        <w:tc>
          <w:tcPr>
            <w:tcW w:w="3326"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"_打印电子票据接口"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打印电子票据接口</w:t>
            </w:r>
            <w:r>
              <w:rPr>
                <w:rFonts w:hint="eastAsia" w:ascii="微软雅黑" w:hAnsi="微软雅黑" w:eastAsia="微软雅黑" w:cs="微软雅黑"/>
                <w:lang w:val="en-US" w:eastAsia="zh-CN"/>
              </w:rPr>
              <w:fldChar w:fldCharType="end"/>
            </w:r>
          </w:p>
        </w:tc>
        <w:tc>
          <w:tcPr>
            <w:tcW w:w="2885"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printElectBill</w:t>
            </w:r>
          </w:p>
        </w:tc>
        <w:tc>
          <w:tcPr>
            <w:tcW w:w="2528"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适用于博思客户端组件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6" w:type="dxa"/>
            <w:vMerge w:val="continue"/>
            <w:vAlign w:val="center"/>
          </w:tcPr>
          <w:p>
            <w:pPr>
              <w:bidi w:val="0"/>
              <w:rPr>
                <w:rFonts w:hint="eastAsia" w:ascii="微软雅黑" w:hAnsi="微软雅黑" w:eastAsia="微软雅黑" w:cs="微软雅黑"/>
                <w:lang w:val="en-US" w:eastAsia="zh-CN"/>
              </w:rPr>
            </w:pPr>
          </w:p>
        </w:tc>
        <w:tc>
          <w:tcPr>
            <w:tcW w:w="3326"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"_获取电子票据清单总页数接口"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获取电子票据清单总页数接口</w:t>
            </w:r>
            <w:r>
              <w:rPr>
                <w:rFonts w:hint="eastAsia" w:ascii="微软雅黑" w:hAnsi="微软雅黑" w:eastAsia="微软雅黑" w:cs="微软雅黑"/>
                <w:lang w:val="en-US" w:eastAsia="zh-CN"/>
              </w:rPr>
              <w:fldChar w:fldCharType="end"/>
            </w:r>
          </w:p>
        </w:tc>
        <w:tc>
          <w:tcPr>
            <w:tcW w:w="2885"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getElectBilllListTotal</w:t>
            </w:r>
          </w:p>
        </w:tc>
        <w:tc>
          <w:tcPr>
            <w:tcW w:w="2528" w:type="dxa"/>
            <w:vAlign w:val="top"/>
          </w:tcPr>
          <w:p>
            <w:pPr>
              <w:bidi w:val="0"/>
              <w:rPr>
                <w:rFonts w:hint="eastAsia" w:ascii="微软雅黑" w:hAnsi="微软雅黑" w:eastAsia="微软雅黑" w:cs="微软雅黑"/>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936" w:type="dxa"/>
            <w:vMerge w:val="continue"/>
          </w:tcPr>
          <w:p>
            <w:pPr>
              <w:bidi w:val="0"/>
              <w:rPr>
                <w:rFonts w:hint="eastAsia" w:ascii="微软雅黑" w:hAnsi="微软雅黑" w:eastAsia="微软雅黑" w:cs="微软雅黑"/>
                <w:lang w:val="en-US" w:eastAsia="zh-CN"/>
              </w:rPr>
            </w:pPr>
          </w:p>
        </w:tc>
        <w:tc>
          <w:tcPr>
            <w:tcW w:w="3326"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"_打印电子票据清单接口"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打印电子票据清单接口</w:t>
            </w:r>
            <w:r>
              <w:rPr>
                <w:rFonts w:hint="eastAsia" w:ascii="微软雅黑" w:hAnsi="微软雅黑" w:eastAsia="微软雅黑" w:cs="微软雅黑"/>
                <w:lang w:val="en-US" w:eastAsia="zh-CN"/>
              </w:rPr>
              <w:fldChar w:fldCharType="end"/>
            </w:r>
          </w:p>
        </w:tc>
        <w:tc>
          <w:tcPr>
            <w:tcW w:w="2885"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printElectBillList</w:t>
            </w:r>
          </w:p>
        </w:tc>
        <w:tc>
          <w:tcPr>
            <w:tcW w:w="2528"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适用于博思客户端组件</w:t>
            </w:r>
          </w:p>
        </w:tc>
      </w:tr>
      <w:bookmarkEnd w:id="8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trPr>
        <w:tc>
          <w:tcPr>
            <w:tcW w:w="936" w:type="dxa"/>
            <w:vMerge w:val="continue"/>
          </w:tcPr>
          <w:p>
            <w:pPr>
              <w:bidi w:val="0"/>
              <w:rPr>
                <w:rFonts w:hint="eastAsia" w:ascii="微软雅黑" w:hAnsi="微软雅黑" w:eastAsia="微软雅黑" w:cs="微软雅黑"/>
                <w:lang w:val="en-US" w:eastAsia="zh-CN"/>
              </w:rPr>
            </w:pPr>
          </w:p>
        </w:tc>
        <w:tc>
          <w:tcPr>
            <w:tcW w:w="3326"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电子票打印反馈接口</w:t>
            </w:r>
          </w:p>
        </w:tc>
        <w:tc>
          <w:tcPr>
            <w:tcW w:w="2885" w:type="dxa"/>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electBilllPrintFeedback</w:t>
            </w:r>
          </w:p>
        </w:tc>
        <w:tc>
          <w:tcPr>
            <w:tcW w:w="2528" w:type="dxa"/>
          </w:tcPr>
          <w:p>
            <w:pPr>
              <w:bidi w:val="0"/>
              <w:rPr>
                <w:rFonts w:hint="eastAsia" w:ascii="微软雅黑" w:hAnsi="微软雅黑" w:eastAsia="微软雅黑" w:cs="微软雅黑"/>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trPr>
        <w:tc>
          <w:tcPr>
            <w:tcW w:w="936" w:type="dxa"/>
            <w:vAlign w:val="top"/>
          </w:tcPr>
          <w:p>
            <w:pPr>
              <w:bidi w:val="0"/>
              <w:rPr>
                <w:rFonts w:hint="eastAsia" w:ascii="微软雅黑" w:hAnsi="微软雅黑" w:eastAsia="微软雅黑" w:cs="微软雅黑"/>
                <w:lang w:val="en-US" w:eastAsia="zh-CN"/>
              </w:rPr>
            </w:pPr>
            <w:bookmarkStart w:id="81" w:name="_Toc6218"/>
            <w:r>
              <w:rPr>
                <w:rFonts w:hint="eastAsia" w:ascii="微软雅黑" w:hAnsi="微软雅黑" w:eastAsia="微软雅黑" w:cs="微软雅黑"/>
                <w:lang w:val="en-US" w:eastAsia="zh-CN"/>
              </w:rPr>
              <w:t>数据核对</w:t>
            </w:r>
          </w:p>
        </w:tc>
        <w:tc>
          <w:tcPr>
            <w:tcW w:w="3326"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fldChar w:fldCharType="begin"/>
            </w:r>
            <w:r>
              <w:rPr>
                <w:rFonts w:hint="eastAsia" w:ascii="微软雅黑" w:hAnsi="微软雅黑" w:eastAsia="微软雅黑" w:cs="微软雅黑"/>
                <w:lang w:val="en-US" w:eastAsia="zh-CN"/>
              </w:rPr>
              <w:instrText xml:space="preserve"> HYPERLINK \l "_接收业务开票信息接口" </w:instrText>
            </w:r>
            <w:r>
              <w:rPr>
                <w:rFonts w:hint="eastAsia" w:ascii="微软雅黑" w:hAnsi="微软雅黑" w:eastAsia="微软雅黑" w:cs="微软雅黑"/>
                <w:lang w:val="en-US" w:eastAsia="zh-CN"/>
              </w:rPr>
              <w:fldChar w:fldCharType="separate"/>
            </w:r>
            <w:r>
              <w:rPr>
                <w:rFonts w:hint="eastAsia" w:ascii="微软雅黑" w:hAnsi="微软雅黑" w:eastAsia="微软雅黑" w:cs="微软雅黑"/>
                <w:lang w:val="en-US" w:eastAsia="zh-CN"/>
              </w:rPr>
              <w:t>接收业务开票信息接口</w:t>
            </w:r>
            <w:r>
              <w:rPr>
                <w:rFonts w:hint="eastAsia" w:ascii="微软雅黑" w:hAnsi="微软雅黑" w:eastAsia="微软雅黑" w:cs="微软雅黑"/>
                <w:lang w:val="en-US" w:eastAsia="zh-CN"/>
              </w:rPr>
              <w:fldChar w:fldCharType="end"/>
            </w:r>
          </w:p>
        </w:tc>
        <w:tc>
          <w:tcPr>
            <w:tcW w:w="2885" w:type="dxa"/>
            <w:vAlign w:val="top"/>
          </w:tcPr>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receiveBusBillDataCheck</w:t>
            </w:r>
          </w:p>
        </w:tc>
        <w:tc>
          <w:tcPr>
            <w:tcW w:w="2528" w:type="dxa"/>
            <w:vAlign w:val="top"/>
          </w:tcPr>
          <w:p>
            <w:pPr>
              <w:bidi w:val="0"/>
              <w:rPr>
                <w:rFonts w:hint="eastAsia" w:ascii="微软雅黑" w:hAnsi="微软雅黑" w:eastAsia="微软雅黑" w:cs="微软雅黑"/>
                <w:lang w:val="en-US" w:eastAsia="zh-CN"/>
              </w:rPr>
            </w:pPr>
          </w:p>
        </w:tc>
      </w:tr>
    </w:tbl>
    <w:p>
      <w:pPr>
        <w:pStyle w:val="4"/>
        <w:spacing w:before="156" w:beforeLines="50" w:after="156" w:afterLines="50" w:line="0" w:lineRule="atLeast"/>
        <w:ind w:left="0" w:firstLine="0"/>
        <w:rPr>
          <w:rFonts w:ascii="微软雅黑" w:hAnsi="微软雅黑" w:eastAsia="微软雅黑" w:cs="微软雅黑"/>
        </w:rPr>
      </w:pPr>
      <w:bookmarkStart w:id="82" w:name="_Toc27033"/>
      <w:r>
        <w:rPr>
          <w:rFonts w:hint="eastAsia" w:ascii="微软雅黑" w:hAnsi="微软雅黑" w:eastAsia="微软雅黑" w:cs="微软雅黑"/>
        </w:rPr>
        <w:t>接口对接说明</w:t>
      </w:r>
      <w:bookmarkEnd w:id="81"/>
      <w:bookmarkEnd w:id="82"/>
    </w:p>
    <w:p>
      <w:pPr>
        <w:pStyle w:val="5"/>
        <w:spacing w:before="156" w:beforeLines="50" w:after="156" w:afterLines="50" w:line="0" w:lineRule="atLeast"/>
        <w:ind w:left="0" w:firstLine="0"/>
        <w:rPr>
          <w:rFonts w:ascii="微软雅黑" w:hAnsi="微软雅黑" w:eastAsia="微软雅黑" w:cs="微软雅黑"/>
        </w:rPr>
      </w:pPr>
      <w:bookmarkStart w:id="83" w:name="_Toc26337"/>
      <w:bookmarkStart w:id="84" w:name="_Toc13381"/>
      <w:r>
        <w:rPr>
          <w:rFonts w:hint="eastAsia" w:ascii="微软雅黑" w:hAnsi="微软雅黑" w:eastAsia="微软雅黑" w:cs="微软雅黑"/>
        </w:rPr>
        <w:t>电子票据开具与冲红</w:t>
      </w:r>
      <w:bookmarkEnd w:id="83"/>
      <w:bookmarkEnd w:id="84"/>
    </w:p>
    <w:tbl>
      <w:tblPr>
        <w:tblStyle w:val="3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5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lang w:bidi="ar"/>
              </w:rPr>
            </w:pPr>
            <w:r>
              <w:rPr>
                <w:rFonts w:hint="eastAsia" w:ascii="微软雅黑" w:hAnsi="微软雅黑" w:eastAsia="微软雅黑" w:cs="微软雅黑"/>
                <w:b/>
                <w:sz w:val="21"/>
                <w:szCs w:val="21"/>
                <w:lang w:bidi="ar"/>
              </w:rPr>
              <w:t>接口类别</w:t>
            </w:r>
          </w:p>
        </w:tc>
        <w:tc>
          <w:tcPr>
            <w:tcW w:w="5682"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sz w:val="21"/>
                <w:szCs w:val="21"/>
                <w:lang w:bidi="ar"/>
              </w:rPr>
            </w:pPr>
            <w:r>
              <w:rPr>
                <w:rFonts w:hint="eastAsia" w:ascii="微软雅黑" w:hAnsi="微软雅黑" w:eastAsia="微软雅黑" w:cs="微软雅黑"/>
                <w:b/>
                <w:sz w:val="21"/>
                <w:szCs w:val="21"/>
                <w:lang w:bidi="ar"/>
              </w:rPr>
              <w:t>使用说明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电子票据开具类</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适用于门诊就诊收费结算成功、住院办理出院或者中途结算成功、挂号收费结算成功、体检收费结算成功等业务场景，结算成功之后，请求医疗电子票据管理平台提供的电子票据开具接口，完成电子票据开具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电子票据冲红类</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适用于患者申请退款的业务场景，如患者全额退款只需要请求医疗电子票据管理平台提供的电子票据冲红接口，生成一张新的电子票据（红票）；</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如患者部分退款，需要第一次请求医疗电子票据管理平台电子票据冲红（全额），</w:t>
            </w:r>
            <w:r>
              <w:rPr>
                <w:rFonts w:hint="eastAsia" w:ascii="微软雅黑" w:hAnsi="微软雅黑" w:eastAsia="微软雅黑" w:cs="微软雅黑"/>
                <w:sz w:val="21"/>
              </w:rPr>
              <w:tab/>
            </w:r>
            <w:r>
              <w:rPr>
                <w:rFonts w:hint="eastAsia" w:ascii="微软雅黑" w:hAnsi="微软雅黑" w:eastAsia="微软雅黑" w:cs="微软雅黑"/>
                <w:sz w:val="21"/>
              </w:rPr>
              <w:t>生成一张新的电子票据（红票），在根据实际发生费用，请求医疗电子票据管理平台开具电子票据，生成一张新的电子票据。</w:t>
            </w:r>
          </w:p>
        </w:tc>
      </w:tr>
    </w:tbl>
    <w:p>
      <w:pPr>
        <w:pStyle w:val="5"/>
        <w:spacing w:before="156" w:beforeLines="50" w:after="156" w:afterLines="50" w:line="0" w:lineRule="atLeast"/>
        <w:ind w:left="0" w:firstLine="0"/>
        <w:rPr>
          <w:rFonts w:ascii="微软雅黑" w:hAnsi="微软雅黑" w:eastAsia="微软雅黑" w:cs="微软雅黑"/>
        </w:rPr>
      </w:pPr>
      <w:bookmarkStart w:id="85" w:name="_Toc4659"/>
      <w:bookmarkStart w:id="86" w:name="_Toc6092"/>
      <w:r>
        <w:rPr>
          <w:rFonts w:hint="eastAsia" w:ascii="微软雅黑" w:hAnsi="微软雅黑" w:eastAsia="微软雅黑" w:cs="微软雅黑"/>
        </w:rPr>
        <w:t>电子票据换开与数据核对</w:t>
      </w:r>
      <w:bookmarkEnd w:id="85"/>
      <w:bookmarkEnd w:id="86"/>
    </w:p>
    <w:tbl>
      <w:tblPr>
        <w:tblStyle w:val="3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5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bCs/>
                <w:sz w:val="21"/>
              </w:rPr>
            </w:pPr>
            <w:r>
              <w:rPr>
                <w:rFonts w:hint="eastAsia" w:ascii="微软雅黑" w:hAnsi="微软雅黑" w:eastAsia="微软雅黑" w:cs="微软雅黑"/>
                <w:b/>
                <w:bCs/>
                <w:sz w:val="21"/>
              </w:rPr>
              <w:t>接口类别</w:t>
            </w:r>
          </w:p>
        </w:tc>
        <w:tc>
          <w:tcPr>
            <w:tcW w:w="5682" w:type="dxa"/>
            <w:shd w:val="clear" w:color="auto" w:fill="D8D8D8" w:themeFill="background1" w:themeFillShade="D9"/>
            <w:vAlign w:val="center"/>
          </w:tcPr>
          <w:p>
            <w:pPr>
              <w:spacing w:before="156" w:beforeLines="50" w:after="156" w:afterLines="50" w:line="0" w:lineRule="atLeast"/>
              <w:jc w:val="center"/>
              <w:rPr>
                <w:rFonts w:ascii="微软雅黑" w:hAnsi="微软雅黑" w:eastAsia="微软雅黑" w:cs="微软雅黑"/>
                <w:b/>
                <w:bCs/>
                <w:sz w:val="21"/>
              </w:rPr>
            </w:pPr>
            <w:r>
              <w:rPr>
                <w:rFonts w:hint="eastAsia" w:ascii="微软雅黑" w:hAnsi="微软雅黑" w:eastAsia="微软雅黑" w:cs="微软雅黑"/>
                <w:b/>
                <w:bCs/>
                <w:sz w:val="21"/>
              </w:rPr>
              <w:t>使用说明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电子票据换开(纸质票据)类</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适用于患者需要纸质票据（主要用于报销），医院业务系统请求医疗电子票据管理平台提供的换开纸质票据接口，完成电子票据换开纸质票据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数据核对类</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适用于业务系统进行日终（年月度）对账，提供总数核对、业务时间范围内的开票明细数据核对。</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核对步骤：先进行总数核对，如总数核对存在差异，在进行开票明细数据核对。</w:t>
            </w:r>
          </w:p>
        </w:tc>
      </w:tr>
    </w:tbl>
    <w:p>
      <w:pPr>
        <w:pStyle w:val="5"/>
        <w:spacing w:before="156" w:beforeLines="50" w:after="156" w:afterLines="50" w:line="0" w:lineRule="atLeast"/>
        <w:ind w:left="0" w:firstLine="0"/>
        <w:rPr>
          <w:rFonts w:ascii="微软雅黑" w:hAnsi="微软雅黑" w:eastAsia="微软雅黑" w:cs="微软雅黑"/>
        </w:rPr>
      </w:pPr>
      <w:bookmarkStart w:id="87" w:name="_Toc1453"/>
      <w:bookmarkStart w:id="88" w:name="_Toc32000"/>
      <w:r>
        <w:rPr>
          <w:rFonts w:hint="eastAsia" w:ascii="微软雅黑" w:hAnsi="微软雅黑" w:eastAsia="微软雅黑" w:cs="微软雅黑"/>
        </w:rPr>
        <w:t>电子票据查询与库存信息</w:t>
      </w:r>
      <w:bookmarkEnd w:id="87"/>
      <w:bookmarkEnd w:id="88"/>
    </w:p>
    <w:tbl>
      <w:tblPr>
        <w:tblStyle w:val="36"/>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5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jc w:val="center"/>
              <w:rPr>
                <w:rFonts w:ascii="微软雅黑" w:hAnsi="微软雅黑" w:eastAsia="微软雅黑" w:cs="微软雅黑"/>
                <w:b/>
                <w:bCs/>
                <w:sz w:val="21"/>
              </w:rPr>
            </w:pPr>
            <w:r>
              <w:rPr>
                <w:rFonts w:hint="eastAsia" w:ascii="微软雅黑" w:hAnsi="微软雅黑" w:eastAsia="微软雅黑" w:cs="微软雅黑"/>
                <w:b/>
                <w:bCs/>
                <w:sz w:val="21"/>
              </w:rPr>
              <w:t>接口类别</w:t>
            </w:r>
          </w:p>
        </w:tc>
        <w:tc>
          <w:tcPr>
            <w:tcW w:w="5682" w:type="dxa"/>
            <w:vAlign w:val="center"/>
          </w:tcPr>
          <w:p>
            <w:pPr>
              <w:spacing w:before="156" w:beforeLines="50" w:after="156" w:afterLines="50" w:line="0" w:lineRule="atLeast"/>
              <w:jc w:val="center"/>
              <w:rPr>
                <w:rFonts w:ascii="微软雅黑" w:hAnsi="微软雅黑" w:eastAsia="微软雅黑" w:cs="微软雅黑"/>
                <w:b/>
                <w:bCs/>
                <w:sz w:val="21"/>
              </w:rPr>
            </w:pPr>
            <w:r>
              <w:rPr>
                <w:rFonts w:hint="eastAsia" w:ascii="微软雅黑" w:hAnsi="微软雅黑" w:eastAsia="微软雅黑" w:cs="微软雅黑"/>
                <w:b/>
                <w:bCs/>
                <w:sz w:val="21"/>
              </w:rPr>
              <w:t>使用说明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电子票据查询类</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业务系统需要以电子票据信息，获取电子票据明细、查看电子票据H5页面地址进行展示；如患者就诊结算后，事后需要电子票据告知单，业务系统请求医疗电子票据管理平台提供的获取电子票据告知单内容接口，获取告知单内容，进行补打告知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电子/纸质库存</w:t>
            </w:r>
          </w:p>
        </w:tc>
        <w:tc>
          <w:tcPr>
            <w:tcW w:w="5682" w:type="dxa"/>
            <w:vAlign w:val="center"/>
          </w:tcPr>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适用于业务系统需要对查询单位库存信息；</w:t>
            </w:r>
          </w:p>
          <w:p>
            <w:pPr>
              <w:spacing w:before="156" w:beforeLines="50" w:after="156" w:afterLines="50" w:line="0" w:lineRule="atLeast"/>
              <w:rPr>
                <w:rFonts w:ascii="微软雅黑" w:hAnsi="微软雅黑" w:eastAsia="微软雅黑" w:cs="微软雅黑"/>
                <w:sz w:val="21"/>
              </w:rPr>
            </w:pPr>
            <w:r>
              <w:rPr>
                <w:rFonts w:hint="eastAsia" w:ascii="微软雅黑" w:hAnsi="微软雅黑" w:eastAsia="微软雅黑" w:cs="微软雅黑"/>
                <w:sz w:val="21"/>
              </w:rPr>
              <w:t>业务系统可以主动发起对纸质票据票据的下发、回退</w:t>
            </w:r>
          </w:p>
        </w:tc>
      </w:tr>
    </w:tbl>
    <w:p>
      <w:pPr>
        <w:pStyle w:val="2"/>
        <w:spacing w:before="156" w:beforeLines="50" w:after="156" w:afterLines="50" w:line="0" w:lineRule="atLeast"/>
        <w:ind w:left="0" w:firstLine="0"/>
        <w:rPr>
          <w:rFonts w:ascii="微软雅黑" w:hAnsi="微软雅黑" w:eastAsia="微软雅黑" w:cs="微软雅黑"/>
        </w:rPr>
      </w:pPr>
      <w:bookmarkStart w:id="89" w:name="_Toc28193"/>
      <w:bookmarkStart w:id="90" w:name="_Toc4179"/>
      <w:bookmarkStart w:id="91" w:name="_Toc491359834"/>
      <w:r>
        <w:rPr>
          <w:rFonts w:hint="eastAsia" w:ascii="微软雅黑" w:hAnsi="微软雅黑" w:eastAsia="微软雅黑" w:cs="微软雅黑"/>
        </w:rPr>
        <w:t>接口描述</w:t>
      </w:r>
      <w:bookmarkEnd w:id="89"/>
      <w:bookmarkEnd w:id="90"/>
      <w:bookmarkEnd w:id="91"/>
    </w:p>
    <w:p>
      <w:pPr>
        <w:pStyle w:val="4"/>
        <w:spacing w:before="156" w:beforeLines="50" w:after="156" w:afterLines="50" w:line="0" w:lineRule="atLeast"/>
        <w:ind w:left="0" w:firstLine="0"/>
        <w:rPr>
          <w:rFonts w:ascii="微软雅黑" w:hAnsi="微软雅黑" w:eastAsia="微软雅黑" w:cs="微软雅黑"/>
        </w:rPr>
      </w:pPr>
      <w:bookmarkStart w:id="92" w:name="_Toc25123"/>
      <w:bookmarkStart w:id="93" w:name="_Toc17036"/>
      <w:r>
        <w:rPr>
          <w:rFonts w:hint="eastAsia" w:ascii="微软雅黑" w:hAnsi="微软雅黑" w:eastAsia="微软雅黑" w:cs="微软雅黑"/>
        </w:rPr>
        <w:t>电子票据</w:t>
      </w:r>
      <w:bookmarkEnd w:id="92"/>
      <w:bookmarkEnd w:id="93"/>
    </w:p>
    <w:p>
      <w:pPr>
        <w:pStyle w:val="5"/>
        <w:spacing w:before="156" w:beforeLines="50" w:after="156" w:afterLines="50" w:line="0" w:lineRule="atLeast"/>
        <w:ind w:left="0" w:firstLine="0"/>
        <w:rPr>
          <w:rFonts w:ascii="微软雅黑" w:hAnsi="微软雅黑" w:eastAsia="微软雅黑" w:cs="微软雅黑"/>
        </w:rPr>
      </w:pPr>
      <w:bookmarkStart w:id="94" w:name="_Toc24355"/>
      <w:bookmarkStart w:id="95" w:name="_Toc15355"/>
      <w:r>
        <w:rPr>
          <w:rFonts w:hint="eastAsia" w:ascii="微软雅黑" w:hAnsi="微软雅黑" w:eastAsia="微软雅黑" w:cs="微软雅黑"/>
        </w:rPr>
        <w:t>电子票据开具接口</w:t>
      </w:r>
      <w:bookmarkEnd w:id="94"/>
      <w:bookmarkEnd w:id="95"/>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业务系统提供开具电子票据信息数据，向医疗电子票据管理平台发起电子票据开具请求，生成电子票据，并返回电子票据相关信息和告知单信息；</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主要可以分为门诊、住院、挂号、门特、体检等业务电子票据开具接口。</w:t>
      </w:r>
    </w:p>
    <w:p>
      <w:pPr>
        <w:pStyle w:val="6"/>
        <w:spacing w:before="156" w:beforeLines="50" w:after="156" w:afterLines="50" w:line="0" w:lineRule="atLeast"/>
        <w:ind w:left="0" w:firstLine="0"/>
        <w:rPr>
          <w:rFonts w:ascii="微软雅黑" w:hAnsi="微软雅黑" w:eastAsia="微软雅黑" w:cs="微软雅黑"/>
        </w:rPr>
      </w:pPr>
      <w:bookmarkStart w:id="96" w:name="_Toc30732"/>
      <w:bookmarkStart w:id="97" w:name="_医疗电子票据开具接口"/>
      <w:bookmarkStart w:id="98" w:name="_医疗门诊电子票据开具接口"/>
      <w:bookmarkStart w:id="99" w:name="_Toc491359835"/>
      <w:r>
        <w:rPr>
          <w:rFonts w:hint="eastAsia" w:ascii="微软雅黑" w:hAnsi="微软雅黑" w:eastAsia="微软雅黑" w:cs="微软雅黑"/>
        </w:rPr>
        <w:t>医疗门诊电子票据开具接口</w:t>
      </w:r>
      <w:bookmarkEnd w:id="96"/>
      <w:bookmarkEnd w:id="97"/>
      <w:bookmarkEnd w:id="98"/>
      <w:bookmarkEnd w:id="99"/>
    </w:p>
    <w:p>
      <w:pPr>
        <w:pStyle w:val="7"/>
        <w:spacing w:before="156" w:beforeLines="50" w:after="156" w:afterLines="50" w:line="0" w:lineRule="atLeast"/>
        <w:ind w:firstLine="0" w:firstLineChars="0"/>
        <w:rPr>
          <w:rFonts w:ascii="微软雅黑" w:hAnsi="微软雅黑" w:eastAsia="微软雅黑" w:cs="微软雅黑"/>
        </w:rPr>
      </w:pPr>
      <w:bookmarkStart w:id="100" w:name="_Toc184"/>
      <w:r>
        <w:rPr>
          <w:rFonts w:hint="eastAsia" w:ascii="微软雅黑" w:hAnsi="微软雅黑" w:eastAsia="微软雅黑" w:cs="微软雅黑"/>
        </w:rPr>
        <w:t xml:space="preserve">服务标识 </w:t>
      </w:r>
      <w:bookmarkStart w:id="101" w:name="OLE_LINK12"/>
      <w:bookmarkStart w:id="102" w:name="OLE_LINK10"/>
      <w:bookmarkStart w:id="103" w:name="OLE_LINK11"/>
      <w:r>
        <w:rPr>
          <w:rFonts w:hint="eastAsia" w:ascii="微软雅黑" w:hAnsi="微软雅黑" w:eastAsia="微软雅黑" w:cs="微软雅黑"/>
        </w:rPr>
        <w:t>invoiceEBill</w:t>
      </w:r>
      <w:bookmarkEnd w:id="101"/>
      <w:bookmarkEnd w:id="102"/>
      <w:bookmarkEnd w:id="103"/>
      <w:r>
        <w:rPr>
          <w:rFonts w:hint="eastAsia" w:ascii="微软雅黑" w:hAnsi="微软雅黑" w:eastAsia="微软雅黑" w:cs="微软雅黑"/>
        </w:rPr>
        <w:t>Outpatient</w:t>
      </w:r>
      <w:bookmarkEnd w:id="100"/>
    </w:p>
    <w:p>
      <w:pPr>
        <w:pStyle w:val="7"/>
        <w:spacing w:before="156" w:beforeLines="50" w:after="156" w:afterLines="50" w:line="0" w:lineRule="atLeast"/>
        <w:ind w:firstLine="0" w:firstLineChars="0"/>
        <w:rPr>
          <w:rFonts w:ascii="微软雅黑" w:hAnsi="微软雅黑" w:eastAsia="微软雅黑" w:cs="微软雅黑"/>
        </w:rPr>
      </w:pPr>
      <w:bookmarkStart w:id="104" w:name="_Toc8965"/>
      <w:r>
        <w:rPr>
          <w:rFonts w:hint="eastAsia" w:ascii="微软雅黑" w:hAnsi="微软雅黑" w:eastAsia="微软雅黑" w:cs="微软雅黑"/>
        </w:rPr>
        <w:t>服务版本号</w:t>
      </w:r>
      <w:bookmarkEnd w:id="104"/>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7"/>
        <w:spacing w:before="156" w:beforeLines="50" w:after="156" w:afterLines="50" w:line="0" w:lineRule="atLeast"/>
        <w:ind w:firstLine="0" w:firstLineChars="0"/>
        <w:rPr>
          <w:rFonts w:ascii="微软雅黑" w:hAnsi="微软雅黑" w:eastAsia="微软雅黑" w:cs="微软雅黑"/>
        </w:rPr>
      </w:pPr>
      <w:bookmarkStart w:id="105" w:name="_请求业务参数"/>
      <w:bookmarkStart w:id="106" w:name="_Toc28255"/>
      <w:r>
        <w:rPr>
          <w:rFonts w:hint="eastAsia" w:ascii="微软雅黑" w:hAnsi="微软雅黑" w:eastAsia="微软雅黑" w:cs="微软雅黑"/>
        </w:rPr>
        <w:t>请求业务参数</w:t>
      </w:r>
      <w:bookmarkEnd w:id="105"/>
      <w:bookmarkEnd w:id="106"/>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注：就诊信息、费用类别，根据实际医疗票据样式可进行调整</w:t>
      </w:r>
    </w:p>
    <w:tbl>
      <w:tblPr>
        <w:tblStyle w:val="35"/>
        <w:tblW w:w="92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3"/>
        <w:gridCol w:w="1458"/>
        <w:gridCol w:w="1682"/>
        <w:gridCol w:w="1346"/>
        <w:gridCol w:w="687"/>
        <w:gridCol w:w="757"/>
        <w:gridCol w:w="2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1" w:hRule="atLeast"/>
        </w:trPr>
        <w:tc>
          <w:tcPr>
            <w:tcW w:w="83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类别</w:t>
            </w:r>
          </w:p>
        </w:tc>
        <w:tc>
          <w:tcPr>
            <w:tcW w:w="145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68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346"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68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75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516"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3" w:type="dxa"/>
            <w:vMerge w:val="restart"/>
            <w:vAlign w:val="center"/>
          </w:tcPr>
          <w:p>
            <w:pPr>
              <w:tabs>
                <w:tab w:val="center" w:pos="796"/>
              </w:tabs>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票据信息</w:t>
            </w:r>
          </w:p>
        </w:tc>
        <w:tc>
          <w:tcPr>
            <w:tcW w:w="1458" w:type="dxa"/>
            <w:vAlign w:val="center"/>
          </w:tcPr>
          <w:p>
            <w:pPr>
              <w:tabs>
                <w:tab w:val="center" w:pos="796"/>
              </w:tabs>
              <w:spacing w:before="156" w:beforeLines="50" w:after="156" w:afterLines="50" w:line="0" w:lineRule="atLeast"/>
              <w:rPr>
                <w:rFonts w:ascii="微软雅黑" w:hAnsi="微软雅黑" w:eastAsia="微软雅黑" w:cs="微软雅黑"/>
                <w:bCs/>
                <w:szCs w:val="21"/>
              </w:rPr>
            </w:pPr>
            <w:r>
              <w:rPr>
                <w:rFonts w:hint="eastAsia" w:ascii="微软雅黑" w:hAnsi="微软雅黑" w:eastAsia="微软雅黑" w:cs="微软雅黑"/>
                <w:szCs w:val="21"/>
              </w:rPr>
              <w:t>busNo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业务流水号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单位内部唯一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busType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业务标识</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757" w:type="dxa"/>
            <w:vAlign w:val="center"/>
          </w:tcPr>
          <w:p>
            <w:pPr>
              <w:tabs>
                <w:tab w:val="left" w:pos="418"/>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Style w:val="40"/>
                <w:rFonts w:ascii="微软雅黑" w:hAnsi="微软雅黑" w:eastAsia="微软雅黑" w:cs="微软雅黑"/>
                <w:szCs w:val="21"/>
              </w:rPr>
            </w:pPr>
            <w:r>
              <w:rPr>
                <w:rFonts w:hint="eastAsia" w:ascii="微软雅黑" w:hAnsi="微软雅黑" w:eastAsia="微软雅黑" w:cs="微软雅黑"/>
              </w:rPr>
              <w:t>直接填写业务系统内部编码值，由医疗平台配置对照，例如：</w:t>
            </w:r>
            <w:r>
              <w:fldChar w:fldCharType="begin"/>
            </w:r>
            <w:r>
              <w:instrText xml:space="preserve"> HYPERLINK \l "_附录5：业务类型列表" </w:instrText>
            </w:r>
            <w:r>
              <w:fldChar w:fldCharType="separate"/>
            </w:r>
            <w:r>
              <w:rPr>
                <w:rStyle w:val="40"/>
                <w:rFonts w:hint="eastAsia" w:ascii="微软雅黑" w:hAnsi="微软雅黑" w:eastAsia="微软雅黑" w:cs="微软雅黑"/>
                <w:szCs w:val="21"/>
              </w:rPr>
              <w:t>附录5 业务标识列表</w:t>
            </w:r>
            <w:r>
              <w:rPr>
                <w:rStyle w:val="40"/>
                <w:rFonts w:hint="eastAsia" w:ascii="微软雅黑" w:hAnsi="微软雅黑" w:eastAsia="微软雅黑" w:cs="微软雅黑"/>
                <w:szCs w:val="21"/>
              </w:rPr>
              <w:fldChar w:fldCharType="end"/>
            </w:r>
          </w:p>
          <w:p>
            <w:pPr>
              <w:spacing w:before="156" w:beforeLines="50" w:after="156" w:afterLines="50" w:line="0" w:lineRule="atLeast"/>
              <w:rPr>
                <w:rStyle w:val="40"/>
                <w:rFonts w:ascii="微软雅黑" w:hAnsi="微软雅黑" w:eastAsia="微软雅黑" w:cs="微软雅黑"/>
                <w:szCs w:val="21"/>
              </w:rPr>
            </w:pPr>
            <w:r>
              <w:rPr>
                <w:rStyle w:val="40"/>
                <w:rFonts w:hint="eastAsia" w:ascii="微软雅黑" w:hAnsi="微软雅黑" w:eastAsia="微软雅黑" w:cs="微软雅黑"/>
                <w:szCs w:val="21"/>
              </w:rPr>
              <w:t>值：02，标识门诊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bookmarkStart w:id="107" w:name="OLE_LINK105" w:colFirst="1" w:colLast="6"/>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payer</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患者姓名</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100</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tc>
      </w:tr>
      <w:bookmarkEnd w:id="10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bookmarkStart w:id="108" w:name="_Hlk503903423"/>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busDateTime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业务发生时间</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tc>
      </w:tr>
      <w:bookmarkEnd w:id="108"/>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bookmarkStart w:id="109" w:name="_Hlk503903438"/>
          </w:p>
        </w:tc>
        <w:tc>
          <w:tcPr>
            <w:tcW w:w="1458"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rPr>
              <w:t>place</w:t>
            </w:r>
            <w:r>
              <w:rPr>
                <w:rFonts w:hint="eastAsia" w:ascii="微软雅黑" w:hAnsi="微软雅黑" w:eastAsia="微软雅黑" w:cs="微软雅黑"/>
                <w:szCs w:val="21"/>
              </w:rPr>
              <w:t>Code</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开票点编码</w:t>
            </w:r>
          </w:p>
        </w:tc>
        <w:tc>
          <w:tcPr>
            <w:tcW w:w="1346"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50</w:t>
            </w:r>
          </w:p>
        </w:tc>
        <w:tc>
          <w:tcPr>
            <w:tcW w:w="757"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rPr>
              <w:t>直接填写业务系统内部编码值，由医疗平台配置对照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payee</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收费员</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rPr>
            </w:pPr>
          </w:p>
        </w:tc>
      </w:tr>
      <w:bookmarkEnd w:id="10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3" w:type="dxa"/>
            <w:vMerge w:val="continue"/>
            <w:vAlign w:val="center"/>
          </w:tcPr>
          <w:p>
            <w:pPr>
              <w:spacing w:before="156" w:beforeLines="50" w:after="156" w:afterLines="50" w:line="0" w:lineRule="atLeast"/>
              <w:rPr>
                <w:rFonts w:ascii="微软雅黑" w:hAnsi="微软雅黑" w:eastAsia="微软雅黑" w:cs="微软雅黑"/>
                <w:szCs w:val="21"/>
                <w:lang w:bidi="ar"/>
              </w:rPr>
            </w:pPr>
          </w:p>
        </w:tc>
        <w:tc>
          <w:tcPr>
            <w:tcW w:w="1458"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lang w:bidi="ar"/>
              </w:rPr>
              <w:t>author</w:t>
            </w:r>
          </w:p>
        </w:tc>
        <w:tc>
          <w:tcPr>
            <w:tcW w:w="1682"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rPr>
              <w:t>票据编制人</w:t>
            </w:r>
          </w:p>
        </w:tc>
        <w:tc>
          <w:tcPr>
            <w:tcW w:w="1346"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如收费员与开票人员为同一人，则值与</w:t>
            </w:r>
            <w:r>
              <w:rPr>
                <w:rFonts w:hint="eastAsia" w:ascii="微软雅黑" w:hAnsi="微软雅黑" w:eastAsia="微软雅黑" w:cs="微软雅黑"/>
              </w:rPr>
              <w:t>payee</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相同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3" w:type="dxa"/>
            <w:vMerge w:val="continue"/>
            <w:vAlign w:val="center"/>
          </w:tcPr>
          <w:p>
            <w:pPr>
              <w:spacing w:before="156" w:beforeLines="50" w:after="156" w:afterLines="50" w:line="0" w:lineRule="atLeast"/>
              <w:rPr>
                <w:rFonts w:ascii="微软雅黑" w:hAnsi="微软雅黑" w:eastAsia="微软雅黑" w:cs="微软雅黑"/>
                <w:szCs w:val="21"/>
                <w:lang w:bidi="ar"/>
              </w:rPr>
            </w:pPr>
          </w:p>
        </w:tc>
        <w:tc>
          <w:tcPr>
            <w:tcW w:w="1458"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checker</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票据复核人</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lang w:bidi="ar"/>
              </w:rPr>
            </w:pPr>
            <w:bookmarkStart w:id="110" w:name="OLE_LINK107" w:colFirst="1" w:colLast="6"/>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totalAmt</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开票总金额</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remark</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备注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bookmarkEnd w:id="11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szCs w:val="21"/>
                <w:lang w:bidi="ar"/>
              </w:rPr>
            </w:pPr>
          </w:p>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缴费</w:t>
            </w: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alipayCode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患者支付宝账户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患者如果使用支付宝结算，可传入</w:t>
            </w:r>
            <w:bookmarkStart w:id="111" w:name="OLE_LINK1"/>
            <w:r>
              <w:rPr>
                <w:rFonts w:hint="eastAsia" w:ascii="微软雅黑" w:hAnsi="微软雅黑" w:eastAsia="微软雅黑" w:cs="微软雅黑"/>
                <w:szCs w:val="21"/>
              </w:rPr>
              <w:t>患者</w:t>
            </w:r>
            <w:bookmarkEnd w:id="111"/>
            <w:r>
              <w:rPr>
                <w:rFonts w:hint="eastAsia" w:ascii="微软雅黑" w:hAnsi="微软雅黑" w:eastAsia="微软雅黑" w:cs="微软雅黑"/>
                <w:szCs w:val="21"/>
              </w:rPr>
              <w:t>的支付宝UserID，用于电子票据归集到支付宝发票管家</w:t>
            </w:r>
            <w:r>
              <w:rPr>
                <w:rFonts w:hint="eastAsia" w:ascii="微软雅黑" w:hAnsi="微软雅黑" w:eastAsia="微软雅黑" w:cs="微软雅黑"/>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weChatOrderNo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微信支付订单号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微信结算时，可传入患者支付成功的订单号，用来发微信服务通知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weChatMedTransNo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微信医保支付订单号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医保患者使用微信医保支付结算时，填写对应的微信医保支付的订单号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openID</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微信公众号或小程序用户ID</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unionPayOrderNo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银联支付信息</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4"/>
                <w:szCs w:val="24"/>
              </w:rPr>
              <w:t>银联结算时，可传入银联查询id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payOrderInfo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支付信息列表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填写费用支付类型信息，支付类型不在【患者支付宝账户、微信支付订单号、微信医保支付订单号、微信公众号或小程序用户ID、银联支付信息】范围内容的，其它支付类型信息可通过列表方式传入</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详见A-7,JSON格式列表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szCs w:val="21"/>
              </w:rPr>
            </w:pPr>
            <w:bookmarkStart w:id="112" w:name="OLE_LINK98" w:colFirst="1" w:colLast="6"/>
            <w:r>
              <w:rPr>
                <w:rFonts w:hint="eastAsia" w:ascii="微软雅黑" w:hAnsi="微软雅黑" w:eastAsia="微软雅黑" w:cs="微软雅黑"/>
                <w:szCs w:val="21"/>
              </w:rPr>
              <w:t>通知</w:t>
            </w: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tel</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患者手机号码</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11</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Cs w:val="21"/>
              </w:rPr>
              <w:t>患者</w:t>
            </w:r>
            <w:r>
              <w:rPr>
                <w:rFonts w:hint="eastAsia" w:ascii="微软雅黑" w:hAnsi="微软雅黑" w:eastAsia="微软雅黑" w:cs="微软雅黑"/>
                <w:color w:val="000000"/>
              </w:rPr>
              <w:t>手机号（如需要用于电子票归集、电子票据短信通知，必填）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email</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患者邮箱地址</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Cs w:val="21"/>
              </w:rPr>
              <w:t>患者</w:t>
            </w:r>
            <w:r>
              <w:rPr>
                <w:rFonts w:hint="eastAsia" w:ascii="微软雅黑" w:hAnsi="微软雅黑" w:eastAsia="微软雅黑" w:cs="微软雅黑"/>
                <w:color w:val="000000"/>
              </w:rPr>
              <w:t>邮箱地址（如需用于电子票归集、电子票据邮箱通知，必填）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payerType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交款人类型</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交款人类型：1 个人 2 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idCardType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证件类型</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例如：</w:t>
            </w:r>
            <w:r>
              <w:fldChar w:fldCharType="begin"/>
            </w:r>
            <w:r>
              <w:instrText xml:space="preserve"> HYPERLINK \l "_附录3：卡类型与证件类型列表" </w:instrText>
            </w:r>
            <w:r>
              <w:fldChar w:fldCharType="separate"/>
            </w:r>
            <w:r>
              <w:rPr>
                <w:rStyle w:val="42"/>
                <w:rFonts w:hint="eastAsia" w:ascii="微软雅黑" w:hAnsi="微软雅黑" w:eastAsia="微软雅黑" w:cs="微软雅黑"/>
              </w:rPr>
              <w:t>附录3：卡类型与证件类型列表</w:t>
            </w:r>
            <w:r>
              <w:rPr>
                <w:rStyle w:val="42"/>
                <w:rFonts w:hint="eastAsia" w:ascii="微软雅黑" w:hAnsi="微软雅黑" w:eastAsia="微软雅黑" w:cs="微软雅黑"/>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bookmarkStart w:id="113" w:name="OLE_LINK99" w:colFirst="1" w:colLast="6"/>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idCardNo</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统一社会信用代码</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30</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个人患者可填身份证号码</w:t>
            </w:r>
          </w:p>
        </w:tc>
      </w:tr>
      <w:bookmarkEnd w:id="112"/>
      <w:bookmarkEnd w:id="11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bookmarkStart w:id="114" w:name="OLE_LINK100" w:colFirst="1" w:colLast="6"/>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cardType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卡类型</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直接填写业务系统内部编码值，由医疗平台配置对照</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例如：</w:t>
            </w:r>
            <w:r>
              <w:fldChar w:fldCharType="begin"/>
            </w:r>
            <w:r>
              <w:instrText xml:space="preserve">HYPERLINK \l "_附录3：卡类型与证件类型列表"</w:instrText>
            </w:r>
            <w:r>
              <w:fldChar w:fldCharType="separate"/>
            </w:r>
            <w:r>
              <w:rPr>
                <w:rStyle w:val="40"/>
                <w:rFonts w:hint="eastAsia" w:ascii="微软雅黑" w:hAnsi="微软雅黑" w:eastAsia="微软雅黑" w:cs="微软雅黑"/>
              </w:rPr>
              <w:t>附录3：卡类型与证件类型列表</w:t>
            </w:r>
            <w:r>
              <w:rPr>
                <w:rStyle w:val="40"/>
                <w:rFonts w:ascii="微软雅黑" w:hAnsi="微软雅黑" w:eastAsia="微软雅黑" w:cs="微软雅黑"/>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cardNo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卡号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bCs/>
                <w:szCs w:val="21"/>
              </w:rPr>
            </w:pPr>
            <w:r>
              <w:rPr>
                <w:rFonts w:hint="eastAsia" w:ascii="微软雅黑" w:hAnsi="微软雅黑" w:eastAsia="微软雅黑" w:cs="微软雅黑"/>
                <w:bCs/>
                <w:szCs w:val="21"/>
              </w:rPr>
              <w:t>根据卡类型填写</w:t>
            </w:r>
          </w:p>
        </w:tc>
      </w:tr>
      <w:bookmarkEnd w:id="11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就诊信息</w:t>
            </w: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medicalInstitution</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医疗机构类型</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szCs w:val="21"/>
              </w:rPr>
              <w:t>按照《医疗机构管理条例实施细则》和《卫生部关于修订&lt;医疗机构管理条例实施细则&gt;第三条有关内容的通知》确定的医疗卫生机构类别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medCareInstitution</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医保机构编码</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60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否</w:t>
            </w:r>
          </w:p>
        </w:tc>
        <w:tc>
          <w:tcPr>
            <w:tcW w:w="2516" w:type="dxa"/>
            <w:vAlign w:val="center"/>
          </w:tcPr>
          <w:p>
            <w:pPr>
              <w:spacing w:before="156" w:beforeLines="50" w:after="156" w:afterLines="50" w:line="0" w:lineRule="atLeast"/>
              <w:rPr>
                <w:rFonts w:ascii="微软雅黑" w:hAnsi="微软雅黑" w:eastAsia="微软雅黑" w:cs="微软雅黑"/>
                <w:bCs/>
                <w:szCs w:val="21"/>
              </w:rPr>
            </w:pPr>
            <w:r>
              <w:rPr>
                <w:rFonts w:hint="eastAsia" w:ascii="微软雅黑" w:hAnsi="微软雅黑" w:eastAsia="微软雅黑" w:cs="微软雅黑"/>
              </w:rPr>
              <w:t>医保机构的唯一编码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medCareTypeCode</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医保类型编码</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30</w:t>
            </w:r>
          </w:p>
        </w:tc>
        <w:tc>
          <w:tcPr>
            <w:tcW w:w="757"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medicalCareType</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医保类型名称</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Cs/>
                <w:szCs w:val="21"/>
              </w:rPr>
              <w:t>取值范围包括职工基本医疗保险、城乡居民基本医疗保险（城镇居民基本医疗保险、新型农村合作医疗保险）和其他医疗保险、非医保等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medicalInsuranceID</w:t>
            </w:r>
          </w:p>
        </w:tc>
        <w:tc>
          <w:tcPr>
            <w:tcW w:w="1682"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患者医保编号</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30</w:t>
            </w:r>
          </w:p>
        </w:tc>
        <w:tc>
          <w:tcPr>
            <w:tcW w:w="757"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参保人在医保系统中的唯一标识(医保号)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consultationDate</w:t>
            </w:r>
          </w:p>
        </w:tc>
        <w:tc>
          <w:tcPr>
            <w:tcW w:w="168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就诊日期</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10</w:t>
            </w:r>
          </w:p>
        </w:tc>
        <w:tc>
          <w:tcPr>
            <w:tcW w:w="757"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是</w:t>
            </w:r>
          </w:p>
        </w:tc>
        <w:tc>
          <w:tcPr>
            <w:tcW w:w="2516"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患者就医时间</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patientCategory</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就诊科室</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themeColor="text1"/>
                <w:szCs w:val="21"/>
                <w14:textFill>
                  <w14:solidFill>
                    <w14:schemeClr w14:val="tx1"/>
                  </w14:solidFill>
                </w14:textFill>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patientCategoryCode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就诊科室编码</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patientNo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患者就诊编号</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患者每次就诊一次就生成的一个新的编号。（患者登记号）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patientId</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患者唯一ID</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患者在业务系统中的唯一标识ID，类似身份证号码。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sex</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性别</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如填值为：男、女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age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年龄</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若未满一年则按照月（M）日（D)传入，如3个月零10天则为 3M10D;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caseNumber</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highlight w:val="yellow"/>
              </w:rPr>
              <w:t>病历号</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ICD</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疾病编码</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specialDiseasesName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特殊病种名称</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r>
              <w:rPr>
                <w:rFonts w:hint="eastAsia" w:ascii="微软雅黑" w:hAnsi="微软雅黑" w:eastAsia="微软雅黑" w:cs="微软雅黑"/>
                <w:b/>
                <w:bCs/>
                <w:color w:val="000000" w:themeColor="text1"/>
                <w:szCs w:val="21"/>
                <w:highlight w:val="yellow"/>
                <w14:textFill>
                  <w14:solidFill>
                    <w14:schemeClr w14:val="tx1"/>
                  </w14:solidFill>
                </w14:textFill>
              </w:rPr>
              <w:t>就诊信息</w:t>
            </w: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matnType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生育类别</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medType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医疗类别</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医保结算必填（报文）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begnTime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开始时间</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19</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highlight w:val="yellow"/>
              </w:rPr>
            </w:pPr>
            <w:r>
              <w:rPr>
                <w:rFonts w:ascii="微软雅黑" w:hAnsi="微软雅黑" w:eastAsia="微软雅黑" w:cs="微软雅黑"/>
                <w:szCs w:val="21"/>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end</w:t>
            </w:r>
            <w:r>
              <w:rPr>
                <w:rFonts w:ascii="微软雅黑" w:hAnsi="微软雅黑" w:eastAsia="微软雅黑" w:cs="微软雅黑"/>
                <w:szCs w:val="21"/>
                <w:highlight w:val="yellow"/>
              </w:rPr>
              <w:t>T</w:t>
            </w:r>
            <w:r>
              <w:rPr>
                <w:rFonts w:hint="eastAsia" w:ascii="微软雅黑" w:hAnsi="微软雅黑" w:eastAsia="微软雅黑" w:cs="微软雅黑"/>
                <w:szCs w:val="21"/>
                <w:highlight w:val="yellow"/>
              </w:rPr>
              <w:t>ime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结束时间</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19</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highlight w:val="yellow"/>
              </w:rPr>
            </w:pPr>
            <w:r>
              <w:rPr>
                <w:rFonts w:ascii="微软雅黑" w:hAnsi="微软雅黑" w:eastAsia="微软雅黑" w:cs="微软雅黑"/>
                <w:szCs w:val="21"/>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birctrlType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计划生育手术类别</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fetts</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胎次</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int</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gesoVal</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孕周数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int</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fetusCnt</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胎儿数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int</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dscgWay</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离院方式</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oprnOprtCode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手术操作代码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oprnOprtName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手术操作名称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dieDate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死亡日期</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chfpdrCode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主诊医师代码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shd w:val="clear" w:color="auto" w:fill="auto"/>
            <w:vAlign w:val="center"/>
          </w:tcPr>
          <w:p>
            <w:pPr>
              <w:spacing w:before="156" w:beforeLines="50" w:after="156" w:afterLines="50" w:line="0" w:lineRule="atLeast"/>
              <w:rPr>
                <w:rFonts w:ascii="微软雅黑" w:hAnsi="微软雅黑" w:eastAsia="微软雅黑" w:cs="微软雅黑"/>
                <w:b/>
                <w:bCs/>
                <w:color w:val="000000" w:themeColor="text1"/>
                <w:szCs w:val="21"/>
                <w:highlight w:val="yellow"/>
                <w14:textFill>
                  <w14:solidFill>
                    <w14:schemeClr w14:val="tx1"/>
                  </w14:solidFill>
                </w14:textFill>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chfpdrName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主诊医师姓名</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费用</w:t>
            </w: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accountPay</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个人账户支付</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 w:val="24"/>
                <w:szCs w:val="24"/>
              </w:rPr>
            </w:pPr>
            <w:r>
              <w:rPr>
                <w:rFonts w:hint="eastAsia" w:ascii="微软雅黑" w:hAnsi="微软雅黑" w:eastAsia="微软雅黑" w:cs="微软雅黑"/>
                <w:sz w:val="24"/>
                <w:szCs w:val="24"/>
              </w:rPr>
              <w:t>按政策规定用个人账户支付参保人的医疗费用（含基本医疗保险目录范围内和目录范围外的费用）；</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jc w:val="center"/>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payMentVoucher</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预交金凭证消费扣款列表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结算开具电子票据时，传入消费扣款对应预交金凭证信息</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详见A-6,JSON格式列表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fundPay</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医保统筹基金支付</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 w:val="24"/>
                <w:szCs w:val="24"/>
                <w:highlight w:val="yellow"/>
              </w:rPr>
            </w:pPr>
            <w:r>
              <w:rPr>
                <w:rFonts w:hint="eastAsia" w:ascii="微软雅黑" w:hAnsi="微软雅黑" w:eastAsia="微软雅黑" w:cs="微软雅黑"/>
                <w:sz w:val="24"/>
                <w:szCs w:val="24"/>
                <w:highlight w:val="yellow"/>
              </w:rPr>
              <w:t>医保结算必填</w:t>
            </w:r>
          </w:p>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 w:val="24"/>
                <w:szCs w:val="24"/>
                <w:highlight w:val="yellow"/>
              </w:rPr>
              <w:t>患者本次就医所发生的医疗费用中按规定由基本医疗保险统筹基金支付的金额</w:t>
            </w:r>
            <w:r>
              <w:rPr>
                <w:rFonts w:hint="eastAsia" w:ascii="微软雅黑" w:hAnsi="微软雅黑" w:eastAsia="微软雅黑" w:cs="微软雅黑"/>
                <w:highlight w:val="yellow"/>
              </w:rPr>
              <w:t>；</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如无金额，填写0</w:t>
            </w:r>
          </w:p>
        </w:tc>
      </w:tr>
      <w:tr>
        <w:tblPrEx>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otherfundPay</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其它医保支付</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患者本次就医所发生的医疗费用中按规定由大病保险、医疗救助、公务员医疗补助、大额补充、企业补充等基金或资金支付的金额；</w:t>
            </w:r>
          </w:p>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ownPay</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自费金额</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患者本次就医所发生的医疗费用中按照有关规定不属于基本医疗保险目录范围而全部由个人支付的费用；</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selfConceitedAmt</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个人自费</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医保患者起付标准内个人支付费用；</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如无金额，填写0</w:t>
            </w:r>
          </w:p>
        </w:tc>
      </w:tr>
      <w:tr>
        <w:tblPrEx>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selfPayAmt</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个人自付</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患者本次就医所发生的医疗费用中由个人负担的属于基本医疗保险目录范围内自付部分的金额；开展按病种、病组、床日等打包付费方式且由患者定额付费的费用。该项为个人所得税大病医疗专项附加扣除信；息项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selfCashPay</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个人现金支付</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个人通过现金、银行卡、微信、支付宝等渠道支付的金额；</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如无金额，填写0</w:t>
            </w:r>
          </w:p>
        </w:tc>
      </w:tr>
      <w:tr>
        <w:tblPrEx>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cashPay</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预缴金额</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cashRecharge</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补缴金额</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cashRefund</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退费金额</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ownAcBalance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个人账户余额</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reimbursementAmt</w:t>
            </w:r>
          </w:p>
        </w:tc>
        <w:tc>
          <w:tcPr>
            <w:tcW w:w="1682"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报销总金额</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医保结算后返回的总金额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lang w:bidi="ar"/>
              </w:rPr>
            </w:pPr>
            <w:r>
              <w:rPr>
                <w:rFonts w:hint="eastAsia" w:ascii="微软雅黑" w:hAnsi="微软雅黑" w:eastAsia="微软雅黑" w:cs="微软雅黑"/>
                <w:szCs w:val="21"/>
                <w:highlight w:val="yellow"/>
              </w:rPr>
              <w:t>balancedNumber</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lang w:bidi="ar"/>
              </w:rPr>
            </w:pPr>
            <w:r>
              <w:rPr>
                <w:rFonts w:hint="eastAsia" w:ascii="微软雅黑" w:hAnsi="微软雅黑" w:eastAsia="微软雅黑" w:cs="微软雅黑"/>
                <w:szCs w:val="21"/>
                <w:highlight w:val="yellow"/>
              </w:rPr>
              <w:t>医保结算号</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100</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vAlign w:val="center"/>
          </w:tcPr>
          <w:p>
            <w:pPr>
              <w:spacing w:before="156" w:beforeLines="50" w:after="156" w:afterLines="50" w:line="0" w:lineRule="atLeast"/>
              <w:rPr>
                <w:rFonts w:ascii="微软雅黑" w:hAnsi="微软雅黑" w:eastAsia="微软雅黑" w:cs="微软雅黑"/>
                <w:sz w:val="24"/>
                <w:szCs w:val="24"/>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医保结算票据必填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HIS和医保实时结算时，医保生成的唯一业务流水号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chargeDate</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交费日期</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交费时间</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lang w:bidi="ar"/>
              </w:rPr>
              <w:t>otherInfo</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其它扩展信息列表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填写信息需要在电子票据上单独显示的其它扩展信息（未知信息）</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详见A-3,JSON格式列表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otherMedicalList</w:t>
            </w:r>
          </w:p>
        </w:tc>
        <w:tc>
          <w:tcPr>
            <w:tcW w:w="1682"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其它医保信息列表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填写其它未知医保信息（在电子票据上以内容拼接方式显示）</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详见A-4,JSON格式列表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rPr>
            </w:pPr>
          </w:p>
        </w:tc>
        <w:tc>
          <w:tcPr>
            <w:tcW w:w="1458"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payChannelDetail</w:t>
            </w:r>
          </w:p>
        </w:tc>
        <w:tc>
          <w:tcPr>
            <w:tcW w:w="1682"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交费渠道列表</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rPr>
              <w:t>直接填写业务系统内部编码值，由医疗平台配置对照如：</w:t>
            </w:r>
            <w:r>
              <w:fldChar w:fldCharType="begin"/>
            </w:r>
            <w:r>
              <w:instrText xml:space="preserve">HYPERLINK \l "_附录4：缴款渠道列表"</w:instrText>
            </w:r>
            <w:r>
              <w:fldChar w:fldCharType="separate"/>
            </w:r>
            <w:r>
              <w:rPr>
                <w:rStyle w:val="40"/>
                <w:rFonts w:hint="eastAsia" w:ascii="微软雅黑" w:hAnsi="微软雅黑" w:eastAsia="微软雅黑" w:cs="微软雅黑"/>
                <w:bCs/>
                <w:szCs w:val="21"/>
              </w:rPr>
              <w:t>附录4交费渠道列表</w:t>
            </w:r>
            <w:r>
              <w:rPr>
                <w:rStyle w:val="40"/>
                <w:rFonts w:ascii="微软雅黑" w:hAnsi="微软雅黑" w:eastAsia="微软雅黑" w:cs="微软雅黑"/>
                <w:bCs/>
                <w:szCs w:val="21"/>
              </w:rPr>
              <w:fldChar w:fldCharType="end"/>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详见A-5,JSON格式列表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医保结算信息</w:t>
            </w:r>
          </w:p>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medicalInstitutionCode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定点医疗机构编码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12</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medicalInstitutionName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highlight w:val="yellow"/>
              </w:rPr>
              <w:t>定点医疗机构名称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20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diagnosticCode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主要诊断代码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diagnosticName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主要诊断名称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 xml:space="preserve">String </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scdDiagCode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次要诊断代码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r>
              <w:rPr>
                <w:rFonts w:ascii="微软雅黑" w:hAnsi="微软雅黑" w:eastAsia="微软雅黑" w:cs="微软雅黑"/>
                <w:szCs w:val="21"/>
                <w:highlight w:val="yellow"/>
              </w:rPr>
              <w:t>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scdDiagName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次要诊断名称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w:t>
            </w:r>
            <w:r>
              <w:rPr>
                <w:rFonts w:ascii="微软雅黑" w:hAnsi="微软雅黑" w:eastAsia="微软雅黑" w:cs="微软雅黑"/>
                <w:szCs w:val="21"/>
                <w:highlight w:val="yellow"/>
              </w:rPr>
              <w:t>55</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supninsCode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监管机构代码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9</w:t>
            </w:r>
          </w:p>
        </w:tc>
        <w:tc>
          <w:tcPr>
            <w:tcW w:w="757" w:type="dxa"/>
            <w:shd w:val="clear" w:color="auto" w:fill="auto"/>
            <w:vAlign w:val="center"/>
          </w:tcPr>
          <w:p>
            <w:pPr>
              <w:spacing w:before="156" w:beforeLines="50" w:after="156" w:afterLines="50" w:line="0" w:lineRule="atLeast"/>
              <w:rPr>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lang w:eastAsia="zh-Hans"/>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lang w:eastAsia="zh-Hans"/>
              </w:rPr>
              <w:t>票据监管机构区划代码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policyRangeAmount</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符合政策范围金额</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6</w:t>
            </w:r>
            <w:r>
              <w:rPr>
                <w:rFonts w:hint="eastAsia" w:ascii="微软雅黑" w:hAnsi="微软雅黑" w:eastAsia="微软雅黑" w:cs="微软雅黑"/>
                <w:szCs w:val="21"/>
                <w:highlight w:val="yellow"/>
              </w:rPr>
              <w:t>,2</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insurance</w:t>
            </w:r>
            <w:r>
              <w:rPr>
                <w:rFonts w:hint="eastAsia" w:ascii="微软雅黑" w:hAnsi="微软雅黑" w:eastAsia="微软雅黑" w:cs="微软雅黑"/>
                <w:szCs w:val="21"/>
                <w:highlight w:val="yellow"/>
              </w:rPr>
              <w:t>T</w:t>
            </w:r>
            <w:r>
              <w:rPr>
                <w:rFonts w:ascii="微软雅黑" w:hAnsi="微软雅黑" w:eastAsia="微软雅黑" w:cs="微软雅黑"/>
                <w:szCs w:val="21"/>
                <w:highlight w:val="yellow"/>
              </w:rPr>
              <w:t>ype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险种类型</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可参考</w:t>
            </w:r>
            <w:r>
              <w:rPr>
                <w:highlight w:val="yellow"/>
              </w:rPr>
              <w:fldChar w:fldCharType="begin"/>
            </w:r>
            <w:r>
              <w:rPr>
                <w:highlight w:val="yellow"/>
              </w:rPr>
              <w:instrText xml:space="preserve">HYPERLINK \l "_附录13：医保类型"</w:instrText>
            </w:r>
            <w:r>
              <w:rPr>
                <w:highlight w:val="yellow"/>
              </w:rPr>
              <w:fldChar w:fldCharType="separate"/>
            </w:r>
            <w:r>
              <w:rPr>
                <w:rStyle w:val="42"/>
                <w:rFonts w:hint="eastAsia" w:ascii="微软雅黑" w:hAnsi="微软雅黑" w:eastAsia="微软雅黑" w:cs="微软雅黑"/>
                <w:color w:val="auto"/>
                <w:szCs w:val="21"/>
                <w:highlight w:val="yellow"/>
              </w:rPr>
              <w:t>附录13险种类型列表</w:t>
            </w:r>
            <w:r>
              <w:rPr>
                <w:rStyle w:val="42"/>
                <w:rFonts w:ascii="微软雅黑" w:hAnsi="微软雅黑" w:eastAsia="微软雅黑" w:cs="微软雅黑"/>
                <w:color w:val="auto"/>
                <w:szCs w:val="21"/>
                <w:highlight w:val="yellow"/>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medCare</w:t>
            </w:r>
            <w:r>
              <w:rPr>
                <w:rFonts w:ascii="微软雅黑" w:hAnsi="微软雅黑" w:eastAsia="微软雅黑" w:cs="微软雅黑"/>
                <w:szCs w:val="21"/>
                <w:highlight w:val="yellow"/>
              </w:rPr>
              <w:t>Join</w:t>
            </w:r>
            <w:r>
              <w:rPr>
                <w:rFonts w:hint="eastAsia" w:ascii="微软雅黑" w:hAnsi="微软雅黑" w:eastAsia="微软雅黑" w:cs="微软雅黑"/>
                <w:szCs w:val="21"/>
                <w:highlight w:val="yellow"/>
              </w:rPr>
              <w:t>AreaCode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参保地医保区划</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w:t>
            </w:r>
            <w:r>
              <w:rPr>
                <w:rFonts w:ascii="微软雅黑" w:hAnsi="微软雅黑" w:eastAsia="微软雅黑" w:cs="微软雅黑"/>
                <w:szCs w:val="21"/>
                <w:highlight w:val="yellow"/>
              </w:rPr>
              <w:t>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medCareAreaCode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就医地医保行政区划码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20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ascii="微软雅黑" w:hAnsi="微软雅黑" w:eastAsia="微软雅黑" w:cs="微软雅黑"/>
                <w:szCs w:val="21"/>
                <w:highlight w:val="yellow"/>
              </w:rPr>
              <w:t>medinsSetlId</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医保结算ID</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w:t>
            </w:r>
            <w:r>
              <w:rPr>
                <w:rFonts w:ascii="微软雅黑" w:hAnsi="微软雅黑" w:eastAsia="微软雅黑" w:cs="微软雅黑"/>
                <w:color w:val="000000" w:themeColor="text1"/>
                <w:szCs w:val="21"/>
                <w:highlight w:val="yellow"/>
                <w14:textFill>
                  <w14:solidFill>
                    <w14:schemeClr w14:val="tx1"/>
                  </w14:solidFill>
                </w14:textFill>
              </w:rPr>
              <w:t>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3</w:t>
            </w:r>
            <w:r>
              <w:rPr>
                <w:rFonts w:ascii="微软雅黑" w:hAnsi="微软雅黑" w:eastAsia="微软雅黑" w:cs="微软雅黑"/>
                <w:szCs w:val="21"/>
                <w:highlight w:val="yellow"/>
              </w:rPr>
              <w:t>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fix</w:t>
            </w:r>
            <w:r>
              <w:rPr>
                <w:rFonts w:hint="eastAsia" w:ascii="微软雅黑" w:hAnsi="微软雅黑" w:eastAsia="微软雅黑" w:cs="微软雅黑"/>
                <w:szCs w:val="21"/>
                <w:highlight w:val="yellow"/>
              </w:rPr>
              <w:t>M</w:t>
            </w:r>
            <w:r>
              <w:rPr>
                <w:rFonts w:ascii="微软雅黑" w:hAnsi="微软雅黑" w:eastAsia="微软雅黑" w:cs="微软雅黑"/>
                <w:szCs w:val="21"/>
                <w:highlight w:val="yellow"/>
              </w:rPr>
              <w:t>edInsMdtrtId</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color w:val="000000" w:themeColor="text1"/>
                <w:szCs w:val="21"/>
                <w:highlight w:val="yellow"/>
                <w14:textFill>
                  <w14:solidFill>
                    <w14:schemeClr w14:val="tx1"/>
                  </w14:solidFill>
                </w14:textFill>
              </w:rPr>
              <w:t>医疗机构就诊ID</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S</w:t>
            </w:r>
            <w:r>
              <w:rPr>
                <w:rFonts w:ascii="微软雅黑" w:hAnsi="微软雅黑" w:eastAsia="微软雅黑" w:cs="微软雅黑"/>
                <w:color w:val="000000" w:themeColor="text1"/>
                <w:szCs w:val="21"/>
                <w:highlight w:val="yellow"/>
                <w14:textFill>
                  <w14:solidFill>
                    <w14:schemeClr w14:val="tx1"/>
                  </w14:solidFill>
                </w14:textFill>
              </w:rPr>
              <w:t>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w:t>
            </w:r>
            <w:r>
              <w:rPr>
                <w:rFonts w:ascii="微软雅黑" w:hAnsi="微软雅黑" w:eastAsia="微软雅黑" w:cs="微软雅黑"/>
                <w:szCs w:val="21"/>
                <w:highlight w:val="yellow"/>
              </w:rPr>
              <w:t>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全自费时必填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medinsSetlTime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医保结算时间</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w:t>
            </w:r>
            <w:r>
              <w:rPr>
                <w:rFonts w:ascii="微软雅黑" w:hAnsi="微软雅黑" w:eastAsia="微软雅黑" w:cs="微软雅黑"/>
                <w:szCs w:val="21"/>
                <w:highlight w:val="yellow"/>
              </w:rPr>
              <w:t>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yyyy</w:t>
            </w:r>
            <w:r>
              <w:rPr>
                <w:rFonts w:ascii="微软雅黑" w:hAnsi="微软雅黑" w:eastAsia="微软雅黑" w:cs="微软雅黑"/>
                <w:szCs w:val="21"/>
                <w:highlight w:val="yellow"/>
              </w:rPr>
              <w:t>MMdd</w:t>
            </w:r>
            <w:r>
              <w:rPr>
                <w:rFonts w:ascii="微软雅黑" w:hAnsi="微软雅黑" w:eastAsia="微软雅黑" w:cs="微软雅黑"/>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szCs w:val="21"/>
                <w:highlight w:val="yellow"/>
              </w:rPr>
              <w:t>accountMulaidPaid</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个人账户共计支付</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d</w:t>
            </w:r>
            <w:r>
              <w:rPr>
                <w:rFonts w:ascii="微软雅黑" w:hAnsi="微软雅黑" w:eastAsia="微软雅黑" w:cs="微软雅黑"/>
                <w:color w:val="000000" w:themeColor="text1"/>
                <w:szCs w:val="21"/>
                <w:highlight w:val="yellow"/>
                <w14:textFill>
                  <w14:solidFill>
                    <w14:schemeClr w14:val="tx1"/>
                  </w14:solidFill>
                </w14:textFill>
              </w:rPr>
              <w:t>iseaseCode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病种编码</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w:t>
            </w:r>
            <w:r>
              <w:rPr>
                <w:rFonts w:ascii="微软雅黑" w:hAnsi="微软雅黑" w:eastAsia="微软雅黑" w:cs="微软雅黑"/>
                <w:szCs w:val="21"/>
                <w:highlight w:val="yellow"/>
              </w:rPr>
              <w:t>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color w:val="000000" w:themeColor="text1"/>
                <w:szCs w:val="21"/>
                <w:highlight w:val="yellow"/>
                <w14:textFill>
                  <w14:solidFill>
                    <w14:schemeClr w14:val="tx1"/>
                  </w14:solidFill>
                </w14:textFill>
              </w:rPr>
              <w:t>DRG</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编码</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14:textFill>
                  <w14:solidFill>
                    <w14:schemeClr w14:val="tx1"/>
                  </w14:solidFill>
                </w14:textFill>
              </w:rPr>
              <w:t>医保结</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算</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自费均</w:t>
            </w:r>
            <w:r>
              <w:rPr>
                <w:rFonts w:hint="eastAsia" w:ascii="微软雅黑" w:hAnsi="微软雅黑" w:eastAsia="微软雅黑" w:cs="微软雅黑"/>
                <w:color w:val="000000" w:themeColor="text1"/>
                <w:szCs w:val="21"/>
                <w:highlight w:val="yellow"/>
                <w14:textFill>
                  <w14:solidFill>
                    <w14:schemeClr w14:val="tx1"/>
                  </w14:solidFill>
                </w14:textFill>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458"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d</w:t>
            </w:r>
            <w:r>
              <w:rPr>
                <w:rFonts w:ascii="微软雅黑" w:hAnsi="微软雅黑" w:eastAsia="微软雅黑" w:cs="微软雅黑"/>
                <w:color w:val="000000" w:themeColor="text1"/>
                <w:szCs w:val="21"/>
                <w:highlight w:val="yellow"/>
                <w14:textFill>
                  <w14:solidFill>
                    <w14:schemeClr w14:val="tx1"/>
                  </w14:solidFill>
                </w14:textFill>
              </w:rPr>
              <w:t>iseaseName</w:t>
            </w:r>
          </w:p>
        </w:tc>
        <w:tc>
          <w:tcPr>
            <w:tcW w:w="168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病种名称</w:t>
            </w:r>
          </w:p>
        </w:tc>
        <w:tc>
          <w:tcPr>
            <w:tcW w:w="134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68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w:t>
            </w:r>
            <w:r>
              <w:rPr>
                <w:rFonts w:ascii="微软雅黑" w:hAnsi="微软雅黑" w:eastAsia="微软雅黑" w:cs="微软雅黑"/>
                <w:szCs w:val="21"/>
                <w:highlight w:val="yellow"/>
              </w:rPr>
              <w:t>00</w:t>
            </w:r>
          </w:p>
        </w:tc>
        <w:tc>
          <w:tcPr>
            <w:tcW w:w="757"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51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highlight w:val="yellow"/>
              </w:rPr>
            </w:pPr>
            <w:r>
              <w:rPr>
                <w:rFonts w:ascii="微软雅黑" w:hAnsi="微软雅黑" w:eastAsia="微软雅黑" w:cs="微软雅黑"/>
                <w:color w:val="000000" w:themeColor="text1"/>
                <w:szCs w:val="21"/>
                <w:highlight w:val="yellow"/>
                <w14:textFill>
                  <w14:solidFill>
                    <w14:schemeClr w14:val="tx1"/>
                  </w14:solidFill>
                </w14:textFill>
              </w:rPr>
              <w:t>DRG</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名称</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14:textFill>
                  <w14:solidFill>
                    <w14:schemeClr w14:val="tx1"/>
                  </w14:solidFill>
                </w14:textFill>
              </w:rPr>
              <w:t>医保结</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算</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自费均</w:t>
            </w:r>
            <w:r>
              <w:rPr>
                <w:rFonts w:hint="eastAsia" w:ascii="微软雅黑" w:hAnsi="微软雅黑" w:eastAsia="微软雅黑" w:cs="微软雅黑"/>
                <w:color w:val="000000" w:themeColor="text1"/>
                <w:szCs w:val="21"/>
                <w:highlight w:val="yellow"/>
                <w14:textFill>
                  <w14:solidFill>
                    <w14:schemeClr w14:val="tx1"/>
                  </w14:solidFill>
                </w14:textFill>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其它</w:t>
            </w:r>
          </w:p>
        </w:tc>
        <w:tc>
          <w:tcPr>
            <w:tcW w:w="1458"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eBillRelateNo</w:t>
            </w:r>
          </w:p>
        </w:tc>
        <w:tc>
          <w:tcPr>
            <w:tcW w:w="168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业务票据关联号</w:t>
            </w:r>
          </w:p>
        </w:tc>
        <w:tc>
          <w:tcPr>
            <w:tcW w:w="134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String</w:t>
            </w:r>
          </w:p>
        </w:tc>
        <w:tc>
          <w:tcPr>
            <w:tcW w:w="68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32</w:t>
            </w:r>
          </w:p>
        </w:tc>
        <w:tc>
          <w:tcPr>
            <w:tcW w:w="75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否</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如一笔业务数据需要开具N张电子票据，则N张电子票对应该值保持一致，用于后期关联查询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isArrears</w:t>
            </w:r>
          </w:p>
        </w:tc>
        <w:tc>
          <w:tcPr>
            <w:tcW w:w="168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是否可流通</w:t>
            </w:r>
          </w:p>
        </w:tc>
        <w:tc>
          <w:tcPr>
            <w:tcW w:w="134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1</w:t>
            </w:r>
          </w:p>
        </w:tc>
        <w:tc>
          <w:tcPr>
            <w:tcW w:w="75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0-否、1-是（如欠费情况根据医院业务要求该票据是否可流通）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arrearsReason</w:t>
            </w:r>
          </w:p>
        </w:tc>
        <w:tc>
          <w:tcPr>
            <w:tcW w:w="168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不可流通原因</w:t>
            </w:r>
          </w:p>
        </w:tc>
        <w:tc>
          <w:tcPr>
            <w:tcW w:w="134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String</w:t>
            </w:r>
          </w:p>
        </w:tc>
        <w:tc>
          <w:tcPr>
            <w:tcW w:w="68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200</w:t>
            </w:r>
          </w:p>
        </w:tc>
        <w:tc>
          <w:tcPr>
            <w:tcW w:w="757"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否</w:t>
            </w:r>
          </w:p>
        </w:tc>
        <w:tc>
          <w:tcPr>
            <w:tcW w:w="251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isArrears=0，</w:t>
            </w:r>
            <w:r>
              <w:rPr>
                <w:rFonts w:hint="eastAsia" w:ascii="微软雅黑" w:hAnsi="微软雅黑" w:eastAsia="微软雅黑" w:cs="微软雅黑"/>
              </w:rPr>
              <w:t>填写不可流通的原因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restart"/>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项目</w:t>
            </w:r>
          </w:p>
        </w:tc>
        <w:tc>
          <w:tcPr>
            <w:tcW w:w="1458"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chargeDetail</w:t>
            </w:r>
          </w:p>
        </w:tc>
        <w:tc>
          <w:tcPr>
            <w:tcW w:w="1682"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收费项目明细</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详见A-1,JSON格式列表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45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listDetail</w:t>
            </w:r>
          </w:p>
        </w:tc>
        <w:tc>
          <w:tcPr>
            <w:tcW w:w="16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清单项目明细</w:t>
            </w:r>
          </w:p>
        </w:tc>
        <w:tc>
          <w:tcPr>
            <w:tcW w:w="134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68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75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51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详见A-2,JSON格式列表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3"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诊断列表</w:t>
            </w:r>
          </w:p>
        </w:tc>
        <w:tc>
          <w:tcPr>
            <w:tcW w:w="145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diagList</w:t>
            </w:r>
          </w:p>
        </w:tc>
        <w:tc>
          <w:tcPr>
            <w:tcW w:w="168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诊断列表</w:t>
            </w:r>
          </w:p>
        </w:tc>
        <w:tc>
          <w:tcPr>
            <w:tcW w:w="134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 w:val="21"/>
                <w:szCs w:val="20"/>
                <w:highlight w:val="yellow"/>
              </w:rPr>
              <w:t>JSONArray</w:t>
            </w:r>
          </w:p>
        </w:tc>
        <w:tc>
          <w:tcPr>
            <w:tcW w:w="687" w:type="dxa"/>
            <w:vAlign w:val="center"/>
          </w:tcPr>
          <w:p>
            <w:pPr>
              <w:spacing w:before="156" w:beforeLines="50" w:after="156" w:afterLines="50" w:line="0" w:lineRule="atLeast"/>
              <w:jc w:val="center"/>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不限</w:t>
            </w:r>
          </w:p>
        </w:tc>
        <w:tc>
          <w:tcPr>
            <w:tcW w:w="757"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516" w:type="dxa"/>
            <w:vAlign w:val="center"/>
          </w:tcPr>
          <w:p>
            <w:pPr>
              <w:spacing w:before="156" w:beforeLines="50" w:after="156" w:afterLines="50" w:line="0" w:lineRule="atLeast"/>
              <w:rPr>
                <w:rFonts w:ascii="微软雅黑" w:hAnsi="微软雅黑" w:eastAsia="微软雅黑" w:cs="微软雅黑"/>
                <w:b/>
                <w:bCs/>
                <w:szCs w:val="21"/>
                <w:highlight w:val="yellow"/>
              </w:rPr>
            </w:pPr>
            <w:r>
              <w:rPr>
                <w:rFonts w:hint="eastAsia" w:ascii="微软雅黑" w:hAnsi="微软雅黑" w:eastAsia="微软雅黑" w:cs="微软雅黑"/>
                <w:b/>
                <w:bCs/>
                <w:szCs w:val="21"/>
                <w:highlight w:val="yellow"/>
              </w:rPr>
              <w:t>详见A-8,JSON格式列表</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A-1 收费项目明细chargeDetail-&gt;JSONObject类型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35"/>
        <w:gridCol w:w="891"/>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3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89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sortNo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默认从1开始，每个收费项目序号值递增1，本次不允许重复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收费项目代码</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填写业务系统内部编码值，由医疗平台配置对照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收费项目名称</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计量单位</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std</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收费标准</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数量</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金额</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selfAmt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自费金额</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remark</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备注</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A-2 清单项目明细listDetail-&gt;JSONObject类型</w:t>
      </w:r>
    </w:p>
    <w:tbl>
      <w:tblPr>
        <w:tblStyle w:val="35"/>
        <w:tblW w:w="90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listDetailNo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明细流水号</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明细流水号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填写业务系统内部编码值，由医疗平台配置对照,如：床位费、检查费</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如填写，值必须在收费项目列表中存在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prescribeCode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处方编码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listTypeCode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药品类别编码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如药品分类编码01，有则填写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listTypeName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药品类别名称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如药品分类名称，抗生素类抗感染药物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如药品编码，有则填写（如果是医保，则填医保药品编号）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如药品名称，器材名称等（如果是医保，则填医保药品名称）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form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剂型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specification</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规格</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 xml:space="preserve">计量单位 </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std</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单价</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14,4</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数量</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14,6</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amt</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金额</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14,4</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selfAmt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自费金额</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14,4</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receivableAmt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应收费用</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14,4</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medicalCareType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医保药品分类</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1：无自负/甲</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2：有自负/乙</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3：全自负/丙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medCareItemType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医保项目类型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medReimburseRate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医保报销比例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3,2</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remark</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备注</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sortNo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chrgtype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333333"/>
                <w:sz w:val="21"/>
                <w:szCs w:val="21"/>
                <w:shd w:val="clear" w:color="auto" w:fill="FFFFFF"/>
              </w:rPr>
              <w:t>费用类型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payDate</w:t>
            </w:r>
          </w:p>
        </w:tc>
        <w:tc>
          <w:tcPr>
            <w:tcW w:w="1984" w:type="dxa"/>
            <w:vAlign w:val="center"/>
          </w:tcPr>
          <w:p>
            <w:pPr>
              <w:spacing w:before="156" w:beforeLines="50" w:after="156" w:afterLines="50" w:line="0" w:lineRule="atLeast"/>
              <w:rPr>
                <w:rFonts w:ascii="微软雅黑" w:hAnsi="微软雅黑" w:eastAsia="微软雅黑" w:cs="微软雅黑"/>
                <w:sz w:val="21"/>
                <w:szCs w:val="21"/>
                <w:highlight w:val="yellow"/>
                <w:shd w:val="clear" w:color="auto" w:fill="FFFFFF"/>
              </w:rPr>
            </w:pPr>
            <w:r>
              <w:rPr>
                <w:rFonts w:hint="eastAsia" w:ascii="微软雅黑" w:hAnsi="微软雅黑" w:eastAsia="微软雅黑" w:cs="微软雅黑"/>
                <w:highlight w:val="yellow"/>
              </w:rPr>
              <w:t>费款所属期</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医保结算必填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highlight w:val="yellow"/>
              </w:rPr>
              <w:t>格式：</w:t>
            </w:r>
            <w:r>
              <w:rPr>
                <w:rFonts w:ascii="微软雅黑" w:hAnsi="微软雅黑" w:eastAsia="微软雅黑" w:cs="微软雅黑"/>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medCareItemCode</w:t>
            </w:r>
          </w:p>
        </w:tc>
        <w:tc>
          <w:tcPr>
            <w:tcW w:w="1984" w:type="dxa"/>
            <w:vAlign w:val="center"/>
          </w:tcPr>
          <w:p>
            <w:pPr>
              <w:spacing w:before="156" w:beforeLines="50" w:after="156" w:afterLines="50" w:line="0" w:lineRule="atLeast"/>
              <w:rPr>
                <w:rFonts w:ascii="微软雅黑" w:hAnsi="微软雅黑" w:eastAsia="微软雅黑" w:cs="微软雅黑"/>
                <w:sz w:val="21"/>
                <w:szCs w:val="21"/>
                <w:highlight w:val="yellow"/>
                <w:shd w:val="clear" w:color="auto" w:fill="FFFFFF"/>
              </w:rPr>
            </w:pPr>
            <w:r>
              <w:rPr>
                <w:rFonts w:hint="eastAsia" w:ascii="微软雅黑" w:hAnsi="微软雅黑" w:eastAsia="微软雅黑" w:cs="微软雅黑"/>
                <w:szCs w:val="21"/>
                <w:highlight w:val="yellow"/>
              </w:rPr>
              <w:t>医保项目编码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100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医保结算必填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属于国家医保目录内的无论是否医保结算都必须填写，影响报销。</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A-3 其它扩展信息列表otherInfo-&gt;JSONObject类型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3"/>
        <w:gridCol w:w="903"/>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默认从1开始，每项数据序号值递增1，本次不允许重复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扩展信息名称</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扩展信息值</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tabs>
          <w:tab w:val="center" w:pos="4153"/>
        </w:tabs>
        <w:spacing w:before="156" w:beforeLines="50" w:after="156" w:afterLines="50" w:line="0" w:lineRule="atLeast"/>
        <w:rPr>
          <w:rFonts w:ascii="微软雅黑" w:hAnsi="微软雅黑" w:eastAsia="微软雅黑" w:cs="微软雅黑"/>
          <w:szCs w:val="21"/>
        </w:rPr>
      </w:pPr>
      <w:bookmarkStart w:id="115" w:name="OLE_LINK145"/>
      <w:bookmarkStart w:id="116" w:name="OLE_LINK146"/>
      <w:r>
        <w:rPr>
          <w:rFonts w:hint="eastAsia" w:ascii="微软雅黑" w:hAnsi="微软雅黑" w:eastAsia="微软雅黑" w:cs="微软雅黑"/>
          <w:szCs w:val="21"/>
        </w:rPr>
        <w:t>其它扩展信息列表传值说明：</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除正常业务传值之外，其它医保相关的信息必须传入，根据医保类型传值，参考如下说明：</w:t>
      </w:r>
    </w:p>
    <w:p>
      <w:pPr>
        <w:numPr>
          <w:ilvl w:val="0"/>
          <w:numId w:val="13"/>
        </w:numPr>
        <w:tabs>
          <w:tab w:val="left" w:pos="249"/>
          <w:tab w:val="left" w:pos="992"/>
          <w:tab w:val="center" w:pos="4153"/>
        </w:tabs>
        <w:spacing w:before="156" w:beforeLines="50" w:after="156" w:afterLines="50" w:line="0" w:lineRule="atLeast"/>
        <w:ind w:left="0" w:firstLine="0"/>
        <w:jc w:val="both"/>
        <w:rPr>
          <w:rFonts w:ascii="微软雅黑" w:hAnsi="微软雅黑" w:eastAsia="微软雅黑" w:cs="微软雅黑"/>
          <w:b/>
          <w:bCs/>
          <w:szCs w:val="21"/>
        </w:rPr>
      </w:pPr>
      <w:r>
        <w:rPr>
          <w:rFonts w:hint="eastAsia" w:ascii="微软雅黑" w:hAnsi="微软雅黑" w:eastAsia="微软雅黑" w:cs="微软雅黑"/>
          <w:b/>
          <w:bCs/>
          <w:szCs w:val="21"/>
        </w:rPr>
        <w:t>医保结算类型开具电子票据，传值说明</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A、其它支出信息</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infoNo参数传值：</w:t>
      </w:r>
      <w:r>
        <w:rPr>
          <w:rFonts w:hint="eastAsia" w:ascii="微软雅黑" w:hAnsi="微软雅黑" w:eastAsia="微软雅黑" w:cs="微软雅黑"/>
          <w:szCs w:val="21"/>
        </w:rPr>
        <w:t>14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infoName参数传值：</w:t>
      </w:r>
      <w:r>
        <w:rPr>
          <w:rFonts w:hint="eastAsia" w:ascii="微软雅黑" w:hAnsi="微软雅黑" w:eastAsia="微软雅黑" w:cs="微软雅黑"/>
          <w:szCs w:val="21"/>
        </w:rPr>
        <w:t>其它支出信息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infoValue参数传值：</w:t>
      </w:r>
      <w:r>
        <w:rPr>
          <w:rFonts w:hint="eastAsia" w:ascii="微软雅黑" w:hAnsi="微软雅黑" w:eastAsia="微软雅黑" w:cs="微软雅黑"/>
          <w:color w:val="000000"/>
          <w:shd w:val="clear" w:color="auto" w:fill="FFFFFF"/>
        </w:rPr>
        <w:t xml:space="preserve">公务员医疗补助资金支出:1.00;企业补充医疗保险基金支出:1.00;居民大病保险资金支出:1.00;职工大额医疗费用补助基金支出:1.00;医疗救助基金支出:1.00;医院负担金额:1.00;其他支出:1.00 </w:t>
      </w:r>
      <w:r>
        <w:rPr>
          <w:rFonts w:hint="eastAsia" w:ascii="微软雅黑" w:hAnsi="微软雅黑" w:eastAsia="微软雅黑" w:cs="微软雅黑"/>
          <w:szCs w:val="21"/>
        </w:rPr>
        <w:t xml:space="preserve"> -&gt;不同其它医保参数用英文分号;拼接，每个参数金额按实际业务值传入</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B、其它医保信息</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infoNo参数传值：</w:t>
      </w:r>
      <w:r>
        <w:rPr>
          <w:rFonts w:hint="eastAsia" w:ascii="微软雅黑" w:hAnsi="微软雅黑" w:eastAsia="微软雅黑" w:cs="微软雅黑"/>
          <w:szCs w:val="21"/>
        </w:rPr>
        <w:t>15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infoName参数传值：</w:t>
      </w:r>
      <w:r>
        <w:rPr>
          <w:rFonts w:hint="eastAsia" w:ascii="微软雅黑" w:hAnsi="微软雅黑" w:eastAsia="微软雅黑" w:cs="微软雅黑"/>
          <w:szCs w:val="21"/>
        </w:rPr>
        <w:t>其它医保信息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infoValue参数传值：</w:t>
      </w:r>
      <w:r>
        <w:rPr>
          <w:rFonts w:hint="eastAsia" w:ascii="微软雅黑" w:hAnsi="微软雅黑" w:eastAsia="微软雅黑" w:cs="微软雅黑"/>
          <w:szCs w:val="21"/>
        </w:rPr>
        <w:t xml:space="preserve"> </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 xml:space="preserve">:1.00 </w:t>
      </w:r>
      <w:r>
        <w:rPr>
          <w:rFonts w:hint="eastAsia" w:ascii="微软雅黑" w:hAnsi="微软雅黑" w:eastAsia="微软雅黑" w:cs="微软雅黑"/>
          <w:szCs w:val="21"/>
        </w:rPr>
        <w:t xml:space="preserve"> -&gt;不同其它医保参数用英文分号;拼接，每个参数金额按实际业务值传入</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例如：</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"公务员医保支付",</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"55.55",</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公务员医疗补助资金支出:1.00;企业补充医疗保险基金支出:1.00;居民大病保险资金支出:1.00;职工大额医疗费用补助基金支出:1.00;医疗救助基金支出:1.00;医院负担金额:1.00;其他支出:1.00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:1.00",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numPr>
          <w:ilvl w:val="0"/>
          <w:numId w:val="13"/>
        </w:numPr>
        <w:tabs>
          <w:tab w:val="left" w:pos="249"/>
          <w:tab w:val="left" w:pos="992"/>
          <w:tab w:val="center" w:pos="4153"/>
        </w:tabs>
        <w:spacing w:before="156" w:beforeLines="50" w:after="156" w:afterLines="50" w:line="0" w:lineRule="atLeast"/>
        <w:ind w:left="0" w:firstLine="0"/>
        <w:jc w:val="both"/>
        <w:rPr>
          <w:rFonts w:ascii="微软雅黑" w:hAnsi="微软雅黑" w:eastAsia="微软雅黑" w:cs="微软雅黑"/>
          <w:b/>
          <w:bCs/>
          <w:szCs w:val="21"/>
        </w:rPr>
      </w:pPr>
      <w:r>
        <w:rPr>
          <w:rFonts w:hint="eastAsia" w:ascii="微软雅黑" w:hAnsi="微软雅黑" w:eastAsia="微软雅黑" w:cs="微软雅黑"/>
          <w:b/>
          <w:bCs/>
          <w:szCs w:val="21"/>
        </w:rPr>
        <w:t>非医保结算类型开具电子票据，传值说明</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infoNo参数传值：15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infoName参数传值：其它医保信息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infoValue参数传值：</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列如：</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"卡账户余额",</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"55.55",</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公务员医疗补助资金支出:0.00;企业补充医疗保险基金支出:0.00;居民大病保险资金支出:0.00;职工大额医疗费用补助基金支出:0.00;医疗救助基金支出:0.00;医院负担金额:0.00;其他支出:0.00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或</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公务员医疗补助资金支出:0.00;企业补充医疗保险基金支出:0.00;居民大病保险资金支出:0.00;职工大额医疗费用补助基金支出:0.00;医疗救助基金支出:0.00;医院负担金额:0.00;其他支出:0.00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A-4 其它医保信息列表otherMedicalList-&gt;JSONObject类型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35"/>
        <w:gridCol w:w="891"/>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3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89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默认从1开始，每项数据序号值递增1，本次不允许重复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医保信息名称</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如费用报销类型编码，可参考</w:t>
            </w:r>
            <w:r>
              <w:fldChar w:fldCharType="begin"/>
            </w:r>
            <w:r>
              <w:instrText xml:space="preserve"> HYPERLINK \l "_附录7：医保报销类型列表" </w:instrText>
            </w:r>
            <w:r>
              <w:fldChar w:fldCharType="separate"/>
            </w:r>
            <w:r>
              <w:rPr>
                <w:rStyle w:val="40"/>
                <w:rFonts w:hint="eastAsia" w:ascii="微软雅黑" w:hAnsi="微软雅黑" w:eastAsia="微软雅黑" w:cs="微软雅黑"/>
                <w:szCs w:val="21"/>
              </w:rPr>
              <w:t>附录7医保报销类型列表</w:t>
            </w:r>
            <w:r>
              <w:rPr>
                <w:rStyle w:val="40"/>
                <w:rFonts w:hint="eastAsia" w:ascii="微软雅黑" w:hAnsi="微软雅黑" w:eastAsia="微软雅黑" w:cs="微软雅黑"/>
                <w:szCs w:val="21"/>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医保信息值</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如费用报销金额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infoOther</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医保其它信息</w:t>
            </w:r>
          </w:p>
        </w:tc>
        <w:tc>
          <w:tcPr>
            <w:tcW w:w="123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89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如医保报销比例。</w:t>
            </w:r>
          </w:p>
        </w:tc>
      </w:tr>
      <w:bookmarkEnd w:id="115"/>
      <w:bookmarkEnd w:id="116"/>
    </w:tbl>
    <w:p>
      <w:pPr>
        <w:tabs>
          <w:tab w:val="center" w:pos="4153"/>
        </w:tabs>
        <w:spacing w:before="156" w:beforeLines="50" w:after="156" w:afterLines="50" w:line="0" w:lineRule="atLeast"/>
        <w:rPr>
          <w:rFonts w:ascii="微软雅黑" w:hAnsi="微软雅黑" w:eastAsia="微软雅黑" w:cs="微软雅黑"/>
          <w:b/>
          <w:bCs/>
          <w:szCs w:val="21"/>
        </w:rPr>
      </w:pPr>
      <w:bookmarkStart w:id="117" w:name="OLE_LINK132"/>
      <w:r>
        <w:rPr>
          <w:rFonts w:hint="eastAsia" w:ascii="微软雅黑" w:hAnsi="微软雅黑" w:eastAsia="微软雅黑" w:cs="微软雅黑"/>
          <w:b/>
          <w:bCs/>
          <w:szCs w:val="21"/>
        </w:rPr>
        <w:t>A-5 交费渠道列表 payChannelDetail-&gt;JSONObject类型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4"/>
        <w:gridCol w:w="902"/>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payChannelCode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交费渠道编码</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payChannelValue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交费渠道金额</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2"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bookmarkEnd w:id="117"/>
    </w:tbl>
    <w:p>
      <w:pPr>
        <w:tabs>
          <w:tab w:val="center" w:pos="4153"/>
        </w:tabs>
        <w:spacing w:before="156" w:beforeLines="50" w:after="156" w:afterLines="50" w:line="0" w:lineRule="atLeast"/>
        <w:rPr>
          <w:rFonts w:ascii="微软雅黑" w:hAnsi="微软雅黑" w:eastAsia="微软雅黑" w:cs="微软雅黑"/>
          <w:b/>
          <w:bCs/>
          <w:szCs w:val="21"/>
        </w:rPr>
      </w:pPr>
      <w:bookmarkStart w:id="118" w:name="_Toc0"/>
      <w:r>
        <w:rPr>
          <w:rFonts w:hint="eastAsia" w:ascii="微软雅黑" w:hAnsi="微软雅黑" w:eastAsia="微软雅黑" w:cs="微软雅黑"/>
          <w:b/>
          <w:bCs/>
          <w:szCs w:val="21"/>
        </w:rPr>
        <w:t>A-6 预交金凭证消费扣款列表 payMentVoucher-&gt;JSONObject类型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02"/>
        <w:gridCol w:w="924"/>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voucherBatchCode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预交金凭证代码</w:t>
            </w:r>
          </w:p>
        </w:tc>
        <w:tc>
          <w:tcPr>
            <w:tcW w:w="12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voucherNo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预交金凭证号码</w:t>
            </w:r>
          </w:p>
        </w:tc>
        <w:tc>
          <w:tcPr>
            <w:tcW w:w="12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A-7 支付信息列表 payOrderInfo-&gt;JSONObject类型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4"/>
        <w:gridCol w:w="902"/>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支付类型编码</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参考</w:t>
            </w:r>
            <w:r>
              <w:fldChar w:fldCharType="begin"/>
            </w:r>
            <w:r>
              <w:instrText xml:space="preserve"> HYPERLINK \l "_附录7：医保报销类型列表" </w:instrText>
            </w:r>
            <w:r>
              <w:fldChar w:fldCharType="separate"/>
            </w:r>
            <w:r>
              <w:rPr>
                <w:rStyle w:val="40"/>
                <w:rFonts w:hint="eastAsia" w:ascii="微软雅黑" w:hAnsi="微软雅黑" w:eastAsia="微软雅黑" w:cs="微软雅黑"/>
                <w:szCs w:val="21"/>
              </w:rPr>
              <w:t>附录8</w:t>
            </w:r>
            <w:r>
              <w:rPr>
                <w:rStyle w:val="40"/>
                <w:rFonts w:hint="eastAsia" w:ascii="微软雅黑" w:hAnsi="微软雅黑" w:eastAsia="微软雅黑" w:cs="微软雅黑"/>
                <w:szCs w:val="21"/>
                <w:lang w:eastAsia="zh-Hans"/>
              </w:rPr>
              <w:t>支付类型编码列表</w:t>
            </w:r>
            <w:r>
              <w:rPr>
                <w:rStyle w:val="40"/>
                <w:rFonts w:hint="eastAsia" w:ascii="微软雅黑" w:hAnsi="微软雅黑" w:eastAsia="微软雅黑" w:cs="微软雅黑"/>
                <w:szCs w:val="21"/>
                <w:lang w:eastAsia="zh-Hans"/>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支付类型值</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 xml:space="preserve">A-8 </w:t>
      </w:r>
      <w:r>
        <w:rPr>
          <w:rFonts w:hint="eastAsia" w:ascii="微软雅黑" w:hAnsi="微软雅黑" w:eastAsia="微软雅黑" w:cs="微软雅黑"/>
          <w:szCs w:val="21"/>
          <w:highlight w:val="yellow"/>
          <w:lang w:eastAsia="zh-Hans"/>
        </w:rPr>
        <w:t>诊断列表diagList</w:t>
      </w:r>
      <w:r>
        <w:rPr>
          <w:rFonts w:hint="eastAsia" w:ascii="微软雅黑" w:hAnsi="微软雅黑" w:eastAsia="微软雅黑" w:cs="微软雅黑"/>
          <w:szCs w:val="21"/>
          <w:highlight w:val="yellow"/>
        </w:rPr>
        <w:t>-&gt;JSONObject类型</w:t>
      </w:r>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参数</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描述</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类型</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长度</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必填</w:t>
            </w:r>
          </w:p>
        </w:tc>
        <w:tc>
          <w:tcPr>
            <w:tcW w:w="217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inoutDiagType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出入院诊断类别</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diagType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诊断类别</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main</w:t>
            </w:r>
            <w:r>
              <w:rPr>
                <w:rFonts w:hint="eastAsia" w:ascii="微软雅黑" w:hAnsi="微软雅黑" w:eastAsia="微软雅黑" w:cs="微软雅黑"/>
                <w:szCs w:val="21"/>
                <w:highlight w:val="yellow"/>
                <w:lang w:eastAsia="zh-Hans"/>
              </w:rPr>
              <w:t>diagFlag</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主诊断标志</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lang w:eastAsia="zh-Hans"/>
              </w:rPr>
              <w:t>diagCode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诊断代码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lang w:eastAsia="zh-Hans"/>
              </w:rPr>
              <w:t>30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w:t>
            </w:r>
            <w:r>
              <w:rPr>
                <w:rFonts w:hint="eastAsia" w:ascii="微软雅黑" w:hAnsi="微软雅黑" w:eastAsia="微软雅黑" w:cs="微软雅黑"/>
                <w:szCs w:val="21"/>
                <w:highlight w:val="yellow"/>
                <w:lang w:eastAsia="zh-Hans"/>
              </w:rPr>
              <w:t>Name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诊断名称</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255</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diagTime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诊断时间</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9</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r>
              <w:rPr>
                <w:rFonts w:cs="宋体"/>
                <w:color w:val="000000"/>
                <w:szCs w:val="18"/>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diagDrCode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诊断医师代码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diagDrName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诊断医师姓名</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bl>
    <w:p/>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返回结果参数</w:t>
      </w:r>
      <w:bookmarkEnd w:id="118"/>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bookmarkStart w:id="119" w:name="OLE_LINK5"/>
            <w:bookmarkStart w:id="120" w:name="OLE_LINK6"/>
            <w:bookmarkStart w:id="121" w:name="OLE_LINK7"/>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r>
              <w:rPr>
                <w:rFonts w:hint="eastAsia" w:ascii="微软雅黑" w:hAnsi="微软雅黑" w:eastAsia="微软雅黑" w:cs="微软雅黑"/>
                <w:b/>
                <w:bCs/>
                <w:szCs w:val="21"/>
              </w:rPr>
              <w:t xml:space="preserve"> </w:t>
            </w:r>
          </w:p>
        </w:tc>
      </w:tr>
      <w:bookmarkEnd w:id="119"/>
      <w:bookmarkEnd w:id="120"/>
      <w:bookmarkEnd w:id="121"/>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B-1 返回结果内容message，响应业务参数-&gt;JSONObject类型</w:t>
      </w:r>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createTime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电子票据生成时间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创建时间：时间格式精确到毫秒</w:t>
            </w:r>
            <w:r>
              <w:rPr>
                <w:rFonts w:hint="eastAsia" w:ascii="微软雅黑" w:hAnsi="微软雅黑" w:eastAsia="微软雅黑" w:cs="微软雅黑"/>
                <w:bCs/>
                <w:color w:val="000000"/>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bookmarkStart w:id="122" w:name="OLE_LINK42"/>
            <w:r>
              <w:rPr>
                <w:rFonts w:hint="eastAsia" w:ascii="微软雅黑" w:hAnsi="微软雅黑" w:eastAsia="微软雅黑" w:cs="微软雅黑"/>
                <w:szCs w:val="21"/>
              </w:rPr>
              <w:t>billQRCode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电子票据二维码图片数据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该值已Base64编码，解析时需要Base64解码，图片格式为PNG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pictureNetUrl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电子票据外网H5页面URL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按需配置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wxCardUrl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微信插卡URL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75" w:type="dxa"/>
            <w:vAlign w:val="center"/>
          </w:tcPr>
          <w:p>
            <w:pPr>
              <w:spacing w:before="156" w:beforeLines="50" w:after="156" w:afterLines="50" w:line="0" w:lineRule="atLeast"/>
              <w:rPr>
                <w:rFonts w:ascii="微软雅黑" w:hAnsi="微软雅黑" w:eastAsia="微软雅黑" w:cs="微软雅黑"/>
                <w:szCs w:val="21"/>
              </w:rPr>
            </w:pPr>
          </w:p>
        </w:tc>
      </w:tr>
      <w:bookmarkEnd w:id="122"/>
    </w:tbl>
    <w:p>
      <w:pPr>
        <w:pStyle w:val="6"/>
        <w:spacing w:before="156" w:beforeLines="50" w:after="156" w:afterLines="50" w:line="0" w:lineRule="atLeast"/>
        <w:ind w:left="0" w:firstLine="0"/>
        <w:rPr>
          <w:rFonts w:ascii="微软雅黑" w:hAnsi="微软雅黑" w:eastAsia="微软雅黑" w:cs="微软雅黑"/>
        </w:rPr>
      </w:pPr>
      <w:bookmarkStart w:id="123" w:name="_Toc27549"/>
      <w:bookmarkStart w:id="124" w:name="_医疗住院电子票据开具接口"/>
      <w:r>
        <w:rPr>
          <w:rFonts w:hint="eastAsia" w:ascii="微软雅黑" w:hAnsi="微软雅黑" w:eastAsia="微软雅黑" w:cs="微软雅黑"/>
        </w:rPr>
        <w:t>医疗住院电子票据开具接口</w:t>
      </w:r>
      <w:bookmarkEnd w:id="123"/>
      <w:bookmarkEnd w:id="124"/>
    </w:p>
    <w:p>
      <w:pPr>
        <w:pStyle w:val="7"/>
        <w:spacing w:before="156" w:beforeLines="50" w:after="156" w:afterLines="50" w:line="0" w:lineRule="atLeast"/>
        <w:ind w:firstLine="0" w:firstLineChars="0"/>
        <w:rPr>
          <w:rFonts w:ascii="微软雅黑" w:hAnsi="微软雅黑" w:eastAsia="微软雅黑" w:cs="微软雅黑"/>
        </w:rPr>
      </w:pPr>
      <w:bookmarkStart w:id="125" w:name="_Toc23023"/>
      <w:r>
        <w:rPr>
          <w:rFonts w:hint="eastAsia" w:ascii="微软雅黑" w:hAnsi="微软雅黑" w:eastAsia="微软雅黑" w:cs="微软雅黑"/>
        </w:rPr>
        <w:t xml:space="preserve">服务标识 </w:t>
      </w:r>
      <w:bookmarkStart w:id="126" w:name="OLE_LINK93"/>
      <w:r>
        <w:rPr>
          <w:rFonts w:hint="eastAsia" w:ascii="微软雅黑" w:hAnsi="微软雅黑" w:eastAsia="微软雅黑" w:cs="微软雅黑"/>
        </w:rPr>
        <w:t>invEBillHospitalized</w:t>
      </w:r>
      <w:bookmarkEnd w:id="125"/>
      <w:bookmarkEnd w:id="126"/>
    </w:p>
    <w:p>
      <w:pPr>
        <w:pStyle w:val="7"/>
        <w:spacing w:before="156" w:beforeLines="50" w:after="156" w:afterLines="50" w:line="0" w:lineRule="atLeast"/>
        <w:ind w:firstLine="0" w:firstLineChars="0"/>
        <w:rPr>
          <w:rFonts w:ascii="微软雅黑" w:hAnsi="微软雅黑" w:eastAsia="微软雅黑" w:cs="微软雅黑"/>
        </w:rPr>
      </w:pPr>
      <w:bookmarkStart w:id="127" w:name="_Toc24457"/>
      <w:r>
        <w:rPr>
          <w:rFonts w:hint="eastAsia" w:ascii="微软雅黑" w:hAnsi="微软雅黑" w:eastAsia="微软雅黑" w:cs="微软雅黑"/>
        </w:rPr>
        <w:t>服务版本号</w:t>
      </w:r>
      <w:bookmarkEnd w:id="12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7"/>
        <w:spacing w:before="156" w:beforeLines="50" w:after="156" w:afterLines="50" w:line="0" w:lineRule="atLeast"/>
        <w:ind w:firstLine="0" w:firstLineChars="0"/>
        <w:rPr>
          <w:rFonts w:ascii="微软雅黑" w:hAnsi="微软雅黑" w:eastAsia="微软雅黑" w:cs="微软雅黑"/>
        </w:rPr>
      </w:pPr>
      <w:bookmarkStart w:id="128" w:name="_请求业务参数_1"/>
      <w:bookmarkStart w:id="129" w:name="_Toc13493"/>
      <w:r>
        <w:rPr>
          <w:rFonts w:hint="eastAsia" w:ascii="微软雅黑" w:hAnsi="微软雅黑" w:eastAsia="微软雅黑" w:cs="微软雅黑"/>
        </w:rPr>
        <w:t>请求业务参数</w:t>
      </w:r>
      <w:bookmarkEnd w:id="128"/>
      <w:bookmarkEnd w:id="12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注：就诊信息、费用类别，根据实际医疗票据样式可进行调整；</w:t>
      </w:r>
    </w:p>
    <w:tbl>
      <w:tblPr>
        <w:tblStyle w:val="35"/>
        <w:tblW w:w="927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1500"/>
        <w:gridCol w:w="1584"/>
        <w:gridCol w:w="1276"/>
        <w:gridCol w:w="715"/>
        <w:gridCol w:w="701"/>
        <w:gridCol w:w="2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79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类别</w:t>
            </w:r>
          </w:p>
        </w:tc>
        <w:tc>
          <w:tcPr>
            <w:tcW w:w="150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5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76"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71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70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71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91" w:type="dxa"/>
            <w:vMerge w:val="restart"/>
            <w:vAlign w:val="center"/>
          </w:tcPr>
          <w:p>
            <w:pPr>
              <w:tabs>
                <w:tab w:val="center" w:pos="796"/>
              </w:tabs>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szCs w:val="21"/>
              </w:rPr>
            </w:pP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票据信息</w:t>
            </w:r>
          </w:p>
        </w:tc>
        <w:tc>
          <w:tcPr>
            <w:tcW w:w="1500" w:type="dxa"/>
            <w:vAlign w:val="center"/>
          </w:tcPr>
          <w:p>
            <w:pPr>
              <w:tabs>
                <w:tab w:val="center" w:pos="796"/>
              </w:tabs>
              <w:spacing w:before="156" w:beforeLines="50" w:after="156" w:afterLines="50" w:line="0" w:lineRule="atLeast"/>
              <w:rPr>
                <w:rFonts w:ascii="微软雅黑" w:hAnsi="微软雅黑" w:eastAsia="微软雅黑" w:cs="微软雅黑"/>
                <w:bCs/>
                <w:szCs w:val="21"/>
              </w:rPr>
            </w:pPr>
            <w:r>
              <w:rPr>
                <w:rFonts w:hint="eastAsia" w:ascii="微软雅黑" w:hAnsi="微软雅黑" w:eastAsia="微软雅黑" w:cs="微软雅黑"/>
                <w:szCs w:val="21"/>
              </w:rPr>
              <w:t>busNo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业务流水号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单位内部唯一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busType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业务标识</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701" w:type="dxa"/>
            <w:vAlign w:val="center"/>
          </w:tcPr>
          <w:p>
            <w:pPr>
              <w:tabs>
                <w:tab w:val="left" w:pos="418"/>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Style w:val="40"/>
                <w:rFonts w:ascii="微软雅黑" w:hAnsi="微软雅黑" w:eastAsia="微软雅黑" w:cs="微软雅黑"/>
                <w:szCs w:val="21"/>
              </w:rPr>
            </w:pPr>
            <w:r>
              <w:rPr>
                <w:rFonts w:hint="eastAsia" w:ascii="微软雅黑" w:hAnsi="微软雅黑" w:eastAsia="微软雅黑" w:cs="微软雅黑"/>
              </w:rPr>
              <w:t>直接填写业务系统内部编码值，由医疗平台配置对照，例如：</w:t>
            </w:r>
            <w:r>
              <w:fldChar w:fldCharType="begin"/>
            </w:r>
            <w:r>
              <w:instrText xml:space="preserve"> HYPERLINK \l "_附录5：业务类型列表" </w:instrText>
            </w:r>
            <w:r>
              <w:fldChar w:fldCharType="separate"/>
            </w:r>
            <w:r>
              <w:rPr>
                <w:rStyle w:val="40"/>
                <w:rFonts w:hint="eastAsia" w:ascii="微软雅黑" w:hAnsi="微软雅黑" w:eastAsia="微软雅黑" w:cs="微软雅黑"/>
                <w:szCs w:val="21"/>
              </w:rPr>
              <w:t>附录5 业务标识列表</w:t>
            </w:r>
            <w:r>
              <w:rPr>
                <w:rStyle w:val="40"/>
                <w:rFonts w:hint="eastAsia" w:ascii="微软雅黑" w:hAnsi="微软雅黑" w:eastAsia="微软雅黑" w:cs="微软雅黑"/>
                <w:szCs w:val="21"/>
              </w:rPr>
              <w:fldChar w:fldCharType="end"/>
            </w:r>
          </w:p>
          <w:p>
            <w:pPr>
              <w:spacing w:before="156" w:beforeLines="50" w:after="156" w:afterLines="50" w:line="0" w:lineRule="atLeast"/>
              <w:rPr>
                <w:rStyle w:val="40"/>
                <w:rFonts w:ascii="微软雅黑" w:hAnsi="微软雅黑" w:eastAsia="微软雅黑" w:cs="微软雅黑"/>
                <w:szCs w:val="21"/>
              </w:rPr>
            </w:pPr>
            <w:r>
              <w:rPr>
                <w:rStyle w:val="40"/>
                <w:rFonts w:hint="eastAsia" w:ascii="微软雅黑" w:hAnsi="微软雅黑" w:eastAsia="微软雅黑" w:cs="微软雅黑"/>
                <w:szCs w:val="21"/>
              </w:rPr>
              <w:t>值：01，标识住院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payer</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患者姓名</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busDateTime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业务发生时间</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rPr>
              <w:t>place</w:t>
            </w:r>
            <w:r>
              <w:rPr>
                <w:rFonts w:hint="eastAsia" w:ascii="微软雅黑" w:hAnsi="微软雅黑" w:eastAsia="微软雅黑" w:cs="微软雅黑"/>
                <w:szCs w:val="21"/>
              </w:rPr>
              <w:t>Code</w:t>
            </w:r>
          </w:p>
        </w:tc>
        <w:tc>
          <w:tcPr>
            <w:tcW w:w="1584"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开票点编码</w:t>
            </w:r>
          </w:p>
        </w:tc>
        <w:tc>
          <w:tcPr>
            <w:tcW w:w="1276"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rPr>
              <w:t>直接填写业务系统内部编码值，由医疗平台配置对照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payee</w:t>
            </w:r>
          </w:p>
        </w:tc>
        <w:tc>
          <w:tcPr>
            <w:tcW w:w="1584"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收费员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lang w:bidi="ar"/>
              </w:rPr>
            </w:pPr>
          </w:p>
        </w:tc>
        <w:tc>
          <w:tcPr>
            <w:tcW w:w="1500"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lang w:bidi="ar"/>
              </w:rPr>
              <w:t>author</w:t>
            </w:r>
          </w:p>
        </w:tc>
        <w:tc>
          <w:tcPr>
            <w:tcW w:w="1584"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rPr>
              <w:t>票据编制人</w:t>
            </w:r>
          </w:p>
        </w:tc>
        <w:tc>
          <w:tcPr>
            <w:tcW w:w="1276" w:type="dxa"/>
            <w:vAlign w:val="center"/>
          </w:tcPr>
          <w:p>
            <w:pPr>
              <w:spacing w:before="156" w:beforeLines="50" w:after="156" w:afterLines="50" w:line="0" w:lineRule="atLeast"/>
              <w:rPr>
                <w:rFonts w:ascii="微软雅黑" w:hAnsi="微软雅黑" w:eastAsia="微软雅黑" w:cs="微软雅黑"/>
                <w:strike/>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如收费员与开票人员为同一人，则值与</w:t>
            </w:r>
            <w:r>
              <w:rPr>
                <w:rFonts w:hint="eastAsia" w:ascii="微软雅黑" w:hAnsi="微软雅黑" w:eastAsia="微软雅黑" w:cs="微软雅黑"/>
              </w:rPr>
              <w:t>payee</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相同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lang w:bidi="ar"/>
              </w:rPr>
            </w:pP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checker</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票据复核人</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lang w:bidi="ar"/>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totalAmt</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开票总金额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remark</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备注</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szCs w:val="21"/>
                <w:lang w:bidi="ar"/>
              </w:rPr>
            </w:pPr>
          </w:p>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缴费</w:t>
            </w: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alipayCode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患者支付宝账户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患者如果使用支付宝结算，可传入患者的支付宝UserID，用于电子票据归集到支付宝发票管家</w:t>
            </w:r>
            <w:r>
              <w:rPr>
                <w:rFonts w:hint="eastAsia" w:ascii="微软雅黑" w:hAnsi="微软雅黑" w:eastAsia="微软雅黑" w:cs="微软雅黑"/>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weChatOrderNo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微信支付订单号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微信结算时，可传入患者支付成功的订单号，用来发微信服务通知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weChatMedTransNo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微信医保支付订单号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医保患者使用微信医保支付结算时，填写对应的微信医保支付的订单号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openID</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微信公众号或小程序用户ID</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unionPayOrderNo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银联支付信息</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4"/>
                <w:szCs w:val="24"/>
              </w:rPr>
              <w:t>银联结算时，可传入银联查询id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payOrderInfo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支付信息列表</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填写费用支付类型信息，支付类型不在【患者支付宝账户、微信支付订单号、微信医保支付订单号、微信公众号或小程序用户ID、银联支付信息】中的，其它支付类型信息可通过列表方式传入</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详见A-7,JSON格式列表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通知</w:t>
            </w: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tel</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患者手机号码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11</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Cs w:val="21"/>
              </w:rPr>
              <w:t>患者</w:t>
            </w:r>
            <w:r>
              <w:rPr>
                <w:rFonts w:hint="eastAsia" w:ascii="微软雅黑" w:hAnsi="微软雅黑" w:eastAsia="微软雅黑" w:cs="微软雅黑"/>
                <w:color w:val="000000"/>
              </w:rPr>
              <w:t>手机号（如需要用于电子票归集、电子票据短信通知，必填）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email</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患者邮箱地址</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szCs w:val="21"/>
              </w:rPr>
              <w:t>患者</w:t>
            </w:r>
            <w:r>
              <w:rPr>
                <w:rFonts w:hint="eastAsia" w:ascii="微软雅黑" w:hAnsi="微软雅黑" w:eastAsia="微软雅黑" w:cs="微软雅黑"/>
                <w:color w:val="000000"/>
              </w:rPr>
              <w:t>邮箱地址（如需用于电子票归集、电子票据邮箱通知，必填）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payerType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交款人类型</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交款人类型：1 个人 2 单位</w:t>
            </w:r>
          </w:p>
        </w:tc>
      </w:tr>
      <w:tr>
        <w:tblPrEx>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idCardType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证件类型</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fldChar w:fldCharType="begin"/>
            </w:r>
            <w:r>
              <w:instrText xml:space="preserve"> HYPERLINK \l "_附录3：卡类型与证件类型列表" </w:instrText>
            </w:r>
            <w:r>
              <w:fldChar w:fldCharType="separate"/>
            </w:r>
            <w:r>
              <w:rPr>
                <w:rStyle w:val="42"/>
                <w:rFonts w:hint="eastAsia" w:ascii="微软雅黑" w:hAnsi="微软雅黑" w:eastAsia="微软雅黑" w:cs="微软雅黑"/>
              </w:rPr>
              <w:t>附录3：卡类型与证件类型列表</w:t>
            </w:r>
            <w:r>
              <w:rPr>
                <w:rStyle w:val="42"/>
                <w:rFonts w:hint="eastAsia" w:ascii="微软雅黑" w:hAnsi="微软雅黑" w:eastAsia="微软雅黑" w:cs="微软雅黑"/>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idCardNo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统一社会信用代码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个人患者可填身份证号码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cardType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卡类型</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直接填写业务系统内部编码值，由医疗平台配置对照</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例如：</w:t>
            </w:r>
            <w:r>
              <w:fldChar w:fldCharType="begin"/>
            </w:r>
            <w:r>
              <w:instrText xml:space="preserve">HYPERLINK \l "_附录3：卡类型与证件类型列表"</w:instrText>
            </w:r>
            <w:r>
              <w:fldChar w:fldCharType="separate"/>
            </w:r>
            <w:r>
              <w:rPr>
                <w:rStyle w:val="42"/>
                <w:rFonts w:hint="eastAsia" w:ascii="微软雅黑" w:hAnsi="微软雅黑" w:eastAsia="微软雅黑" w:cs="微软雅黑"/>
              </w:rPr>
              <w:t>附录3：卡类型与证件类型列表</w:t>
            </w:r>
            <w:r>
              <w:rPr>
                <w:rStyle w:val="42"/>
                <w:rFonts w:ascii="微软雅黑" w:hAnsi="微软雅黑" w:eastAsia="微软雅黑" w:cs="微软雅黑"/>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cardNo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卡号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szCs w:val="21"/>
                <w:highlight w:val="yellow"/>
              </w:rPr>
              <w:t>100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bCs/>
                <w:szCs w:val="21"/>
              </w:rPr>
            </w:pPr>
            <w:r>
              <w:rPr>
                <w:rFonts w:hint="eastAsia" w:ascii="微软雅黑" w:hAnsi="微软雅黑" w:eastAsia="微软雅黑" w:cs="微软雅黑"/>
                <w:bCs/>
                <w:szCs w:val="21"/>
              </w:rPr>
              <w:t>根据卡类型填写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就诊信息</w:t>
            </w: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medicalInstitution</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医疗机构类型</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szCs w:val="21"/>
              </w:rPr>
              <w:t>按照《医疗机构管理条例实施细则》和《卫生部关于修订&lt;医疗机构管理条例实施细则&gt;第三条有关内容的通知》确定的医疗卫生机构类别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medCareInstitution</w:t>
            </w:r>
          </w:p>
        </w:tc>
        <w:tc>
          <w:tcPr>
            <w:tcW w:w="1584"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医保机构编码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60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否</w:t>
            </w:r>
          </w:p>
        </w:tc>
        <w:tc>
          <w:tcPr>
            <w:tcW w:w="2712" w:type="dxa"/>
            <w:vAlign w:val="center"/>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rPr>
              <w:t>医保机构的唯一编码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medCareTypeCode</w:t>
            </w:r>
          </w:p>
        </w:tc>
        <w:tc>
          <w:tcPr>
            <w:tcW w:w="1584"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医保类型编码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medicalCareType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医保类型名称</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由城镇职工基本医疗保险、城镇居民基本医疗保险、新型农村合作医疗、其它医疗保险等构成</w:t>
            </w:r>
          </w:p>
        </w:tc>
      </w:tr>
      <w:tr>
        <w:tblPrEx>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medicalInsuranceID</w:t>
            </w:r>
          </w:p>
        </w:tc>
        <w:tc>
          <w:tcPr>
            <w:tcW w:w="1584"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highlight w:val="yellow"/>
              </w:rPr>
              <w:t>患者医保编号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highlight w:val="yellow"/>
              </w:rPr>
              <w:t>30</w:t>
            </w:r>
          </w:p>
        </w:tc>
        <w:tc>
          <w:tcPr>
            <w:tcW w:w="701"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highlight w:val="yellow"/>
              </w:rPr>
              <w:t>参保人在医保系统中的唯一标识(医保号)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category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入院科室名称</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categoryCode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入院科室编码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leaveCategory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出院科室名称</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leaveCategoryCode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出院科室编码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hospitalNo</w:t>
            </w:r>
          </w:p>
        </w:tc>
        <w:tc>
          <w:tcPr>
            <w:tcW w:w="15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患者住院号</w:t>
            </w:r>
          </w:p>
        </w:tc>
        <w:tc>
          <w:tcPr>
            <w:tcW w:w="127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w:t>
            </w:r>
          </w:p>
        </w:tc>
        <w:tc>
          <w:tcPr>
            <w:tcW w:w="701"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从入院到出院结束后，整个流程的唯一号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bookmarkStart w:id="130" w:name="OLE_LINK115" w:colFirst="1" w:colLast="6"/>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visitNo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住院就诊编号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住院期间，存在多次结算，结算后会重新生成一个住院就诊编号，如无就诊编号，可等于患者住院号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consultationDate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就诊日期</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10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患者就医时间</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patientId</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患者唯一ID</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患者在业务系统中的唯一标识ID，类似身份证号码。</w:t>
            </w:r>
          </w:p>
        </w:tc>
      </w:tr>
      <w:bookmarkEnd w:id="130"/>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patientNo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患者就诊编号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患者每次就诊一次就生成的一个新的编号。（患者登记号）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sex</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性别</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是</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lang w:eastAsia="zh-Hans"/>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如填值为：男、女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age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年龄</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若未满一年则按照月（M）日（D)传入，如3个月零10天则为 3M10D;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hospitalArea</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病区</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bedNo</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床号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caseNumber</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highlight w:val="yellow"/>
              </w:rPr>
              <w:t>病历号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50</w:t>
            </w:r>
          </w:p>
        </w:tc>
        <w:tc>
          <w:tcPr>
            <w:tcW w:w="701" w:type="dxa"/>
            <w:vAlign w:val="center"/>
          </w:tcPr>
          <w:p>
            <w:r>
              <w:rPr>
                <w:rFonts w:hint="eastAsia" w:ascii="微软雅黑" w:hAnsi="微软雅黑" w:eastAsia="微软雅黑" w:cs="微软雅黑"/>
                <w:szCs w:val="21"/>
                <w:highlight w:val="yellow"/>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ICD</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疾病编码</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inHospitalDate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住院日期</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outHospitalDate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出院日期</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hospitalDays</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住院天数</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b/>
                <w:bCs/>
                <w:szCs w:val="21"/>
                <w:highlight w:val="yellow"/>
              </w:rPr>
            </w:pPr>
            <w:r>
              <w:rPr>
                <w:rFonts w:hint="eastAsia" w:ascii="微软雅黑" w:hAnsi="微软雅黑" w:eastAsia="微软雅黑" w:cs="微软雅黑"/>
                <w:b/>
                <w:bCs/>
                <w:szCs w:val="21"/>
                <w:highlight w:val="yellow"/>
              </w:rPr>
              <w:t>就诊信息</w:t>
            </w: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matnType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生育类别</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6</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ascii="微软雅黑" w:hAnsi="微软雅黑" w:eastAsia="微软雅黑" w:cs="微软雅黑"/>
                <w:szCs w:val="21"/>
                <w:highlight w:val="yellow"/>
              </w:rPr>
              <w:t>medType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医疗类别</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6</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医保结算必填（报文）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begnTime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开始时间</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ascii="微软雅黑" w:hAnsi="微软雅黑" w:eastAsia="微软雅黑" w:cs="微软雅黑"/>
                <w:szCs w:val="21"/>
                <w:highlight w:val="yellow"/>
              </w:rPr>
              <w:t>19</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rFonts w:ascii="微软雅黑" w:hAnsi="微软雅黑" w:eastAsia="微软雅黑" w:cs="微软雅黑"/>
                <w:highlight w:val="yellow"/>
                <w:lang w:bidi="ar"/>
              </w:rPr>
            </w:pPr>
            <w:r>
              <w:rPr>
                <w:rFonts w:ascii="微软雅黑" w:hAnsi="微软雅黑" w:eastAsia="微软雅黑" w:cs="微软雅黑"/>
                <w:szCs w:val="21"/>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end</w:t>
            </w:r>
            <w:r>
              <w:rPr>
                <w:rFonts w:ascii="微软雅黑" w:hAnsi="微软雅黑" w:eastAsia="微软雅黑" w:cs="微软雅黑"/>
                <w:szCs w:val="21"/>
                <w:highlight w:val="yellow"/>
              </w:rPr>
              <w:t>T</w:t>
            </w:r>
            <w:r>
              <w:rPr>
                <w:rFonts w:hint="eastAsia" w:ascii="微软雅黑" w:hAnsi="微软雅黑" w:eastAsia="微软雅黑" w:cs="微软雅黑"/>
                <w:szCs w:val="21"/>
                <w:highlight w:val="yellow"/>
              </w:rPr>
              <w:t>ime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结束时间</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ascii="微软雅黑" w:hAnsi="微软雅黑" w:eastAsia="微软雅黑" w:cs="微软雅黑"/>
                <w:szCs w:val="21"/>
                <w:highlight w:val="yellow"/>
              </w:rPr>
              <w:t>19</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p>
            <w:pPr>
              <w:spacing w:before="156" w:beforeLines="50" w:after="156" w:afterLines="50" w:line="0" w:lineRule="atLeast"/>
              <w:rPr>
                <w:rFonts w:ascii="微软雅黑" w:hAnsi="微软雅黑" w:eastAsia="微软雅黑" w:cs="微软雅黑"/>
                <w:highlight w:val="yellow"/>
                <w:lang w:bidi="ar"/>
              </w:rPr>
            </w:pPr>
            <w:r>
              <w:rPr>
                <w:rFonts w:ascii="微软雅黑" w:hAnsi="微软雅黑" w:eastAsia="微软雅黑" w:cs="微软雅黑"/>
                <w:szCs w:val="21"/>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birctrlType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计划生育手术类别</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6</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fetts</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胎次</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int</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3</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gesoVal</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孕周数</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int</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2</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fetusCnt</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胎儿数</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int</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dscgWay</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离院方式</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3</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oprnOprtCode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手术操作代码</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30</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oprnOprtName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手术操作名称</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500</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dieDate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死亡日期</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chfpdrCode</w:t>
            </w:r>
          </w:p>
        </w:tc>
        <w:tc>
          <w:tcPr>
            <w:tcW w:w="15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主诊医师代码</w:t>
            </w:r>
          </w:p>
        </w:tc>
        <w:tc>
          <w:tcPr>
            <w:tcW w:w="127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30</w:t>
            </w:r>
          </w:p>
        </w:tc>
        <w:tc>
          <w:tcPr>
            <w:tcW w:w="701"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b/>
                <w:bCs/>
                <w:szCs w:val="21"/>
                <w:highlight w:val="yellow"/>
              </w:rPr>
            </w:pPr>
          </w:p>
        </w:tc>
        <w:tc>
          <w:tcPr>
            <w:tcW w:w="1500"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chfpdrName</w:t>
            </w:r>
          </w:p>
        </w:tc>
        <w:tc>
          <w:tcPr>
            <w:tcW w:w="1584"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主诊医师姓名</w:t>
            </w:r>
          </w:p>
        </w:tc>
        <w:tc>
          <w:tcPr>
            <w:tcW w:w="1276"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50</w:t>
            </w:r>
          </w:p>
        </w:tc>
        <w:tc>
          <w:tcPr>
            <w:tcW w:w="701" w:type="dxa"/>
            <w:vAlign w:val="center"/>
          </w:tcPr>
          <w:p>
            <w:pPr>
              <w:spacing w:before="156" w:beforeLines="50" w:after="156" w:afterLines="50" w:line="0" w:lineRule="atLeast"/>
              <w:rPr>
                <w:rFonts w:ascii="微软雅黑" w:hAnsi="微软雅黑" w:eastAsia="微软雅黑" w:cs="微软雅黑"/>
                <w:highlight w:val="yellow"/>
                <w:lang w:bidi="ar"/>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highlight w:val="yellow"/>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p>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费用</w:t>
            </w:r>
          </w:p>
        </w:tc>
        <w:tc>
          <w:tcPr>
            <w:tcW w:w="1500" w:type="dxa"/>
            <w:vAlign w:val="center"/>
          </w:tcPr>
          <w:p>
            <w:pPr>
              <w:spacing w:before="156" w:beforeLines="50" w:after="156" w:afterLines="50" w:line="0" w:lineRule="atLeast"/>
              <w:rPr>
                <w:rFonts w:ascii="微软雅黑" w:hAnsi="微软雅黑" w:eastAsia="微软雅黑" w:cs="微软雅黑"/>
                <w:szCs w:val="21"/>
              </w:rPr>
            </w:pPr>
            <w:bookmarkStart w:id="131" w:name="OLE_LINK119"/>
            <w:r>
              <w:rPr>
                <w:rFonts w:hint="eastAsia" w:ascii="微软雅黑" w:hAnsi="微软雅黑" w:eastAsia="微软雅黑" w:cs="微软雅黑"/>
                <w:szCs w:val="21"/>
              </w:rPr>
              <w:t>payMentVoucher</w:t>
            </w:r>
            <w:bookmarkEnd w:id="131"/>
          </w:p>
        </w:tc>
        <w:tc>
          <w:tcPr>
            <w:tcW w:w="1584" w:type="dxa"/>
            <w:vAlign w:val="center"/>
          </w:tcPr>
          <w:p>
            <w:pPr>
              <w:spacing w:before="156" w:beforeLines="50" w:after="156" w:afterLines="50" w:line="0" w:lineRule="atLeast"/>
              <w:rPr>
                <w:rFonts w:ascii="微软雅黑" w:hAnsi="微软雅黑" w:eastAsia="微软雅黑" w:cs="微软雅黑"/>
                <w:szCs w:val="21"/>
              </w:rPr>
            </w:pPr>
            <w:bookmarkStart w:id="132" w:name="OLE_LINK120"/>
            <w:r>
              <w:rPr>
                <w:rFonts w:hint="eastAsia" w:ascii="微软雅黑" w:hAnsi="微软雅黑" w:eastAsia="微软雅黑" w:cs="微软雅黑"/>
                <w:szCs w:val="21"/>
              </w:rPr>
              <w:t>预交金凭证消费扣款列表</w:t>
            </w:r>
            <w:bookmarkEnd w:id="132"/>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结算开具电子票据时，传入消费扣款对应预交金凭证信息</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详见A-6,JSON格式列表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accountPay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个人账户支付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按政策规定用个人账户支付参保人的医疗费用（含基本医疗保险目录范围内和目录范围外的费用）；</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fundPay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医保统筹基金支付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 w:val="24"/>
                <w:szCs w:val="24"/>
                <w:highlight w:val="yellow"/>
              </w:rPr>
            </w:pPr>
            <w:r>
              <w:rPr>
                <w:rFonts w:hint="eastAsia" w:ascii="微软雅黑" w:hAnsi="微软雅黑" w:eastAsia="微软雅黑" w:cs="微软雅黑"/>
                <w:sz w:val="24"/>
                <w:szCs w:val="24"/>
                <w:highlight w:val="yellow"/>
              </w:rPr>
              <w:t>医保结算必填</w:t>
            </w:r>
          </w:p>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 w:val="24"/>
                <w:szCs w:val="24"/>
                <w:highlight w:val="yellow"/>
              </w:rPr>
              <w:t>患者本次就医所发生的医疗费用中按规定由基本医疗保险统筹基金支付的金额</w:t>
            </w:r>
            <w:r>
              <w:rPr>
                <w:rFonts w:hint="eastAsia" w:ascii="微软雅黑" w:hAnsi="微软雅黑" w:eastAsia="微软雅黑" w:cs="微软雅黑"/>
                <w:highlight w:val="yellow"/>
              </w:rPr>
              <w:t>；</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otherfundPay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其它医保支付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患者本次就医所发生的医疗费用中按规定由大病保险、医疗救助、公务员医疗补助、大额补充、企业补充等基金或资金支付的金额；</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如无金额，填写0</w:t>
            </w:r>
          </w:p>
        </w:tc>
      </w:tr>
      <w:tr>
        <w:tblPrEx>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ownPay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个人自费金额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患者本次就医所发生的医疗费用中按照有关规定不属于基本医疗保险目录范围而全部由个人支付的费用；</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selfConceitedAmt</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个人自费</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医保患者起付标准内个人支付费用；</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selfPayAmt</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个人自付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患者本次就医所发生的医疗费用中由个人负担的属于基本医疗保险目录范围内自付部分的金额；开展按病种、病组、床日等打包付费方式且由患者定额付费的费用。该项为个人所得税大病医疗专项附加扣除信；息项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selfCashPay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个人现金支付</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个人通过现金、银行卡、微信、支付宝等渠道支付的金额；</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cashPay</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预缴金额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cashRecharge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补缴金额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cashRefund</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退费金额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lang w:bidi="ar"/>
              </w:rPr>
              <w:t>ownAcBalance</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lang w:bidi="ar"/>
              </w:rPr>
              <w:t>个人账户余额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reimbursementAmt</w:t>
            </w:r>
          </w:p>
        </w:tc>
        <w:tc>
          <w:tcPr>
            <w:tcW w:w="1584"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rPr>
              <w:t>报销总金额</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医保结算后返回的总金额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szCs w:val="21"/>
                <w:highlight w:val="yellow"/>
                <w:lang w:bidi="ar"/>
              </w:rPr>
            </w:pPr>
            <w:r>
              <w:rPr>
                <w:rFonts w:hint="eastAsia" w:ascii="微软雅黑" w:hAnsi="微软雅黑" w:eastAsia="微软雅黑" w:cs="微软雅黑"/>
                <w:szCs w:val="21"/>
                <w:highlight w:val="yellow"/>
              </w:rPr>
              <w:t>balancedNumber</w:t>
            </w:r>
          </w:p>
        </w:tc>
        <w:tc>
          <w:tcPr>
            <w:tcW w:w="1584" w:type="dxa"/>
            <w:vAlign w:val="center"/>
          </w:tcPr>
          <w:p>
            <w:pPr>
              <w:spacing w:before="156" w:beforeLines="50" w:after="156" w:afterLines="50" w:line="0" w:lineRule="atLeast"/>
              <w:rPr>
                <w:rFonts w:ascii="微软雅黑" w:hAnsi="微软雅黑" w:eastAsia="微软雅黑" w:cs="微软雅黑"/>
                <w:szCs w:val="21"/>
                <w:highlight w:val="yellow"/>
                <w:lang w:bidi="ar"/>
              </w:rPr>
            </w:pPr>
            <w:r>
              <w:rPr>
                <w:rFonts w:hint="eastAsia" w:ascii="微软雅黑" w:hAnsi="微软雅黑" w:eastAsia="微软雅黑" w:cs="微软雅黑"/>
                <w:szCs w:val="21"/>
                <w:highlight w:val="yellow"/>
              </w:rPr>
              <w:t>医保结算号</w:t>
            </w:r>
          </w:p>
        </w:tc>
        <w:tc>
          <w:tcPr>
            <w:tcW w:w="127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71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100</w:t>
            </w:r>
          </w:p>
        </w:tc>
        <w:tc>
          <w:tcPr>
            <w:tcW w:w="701"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71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医保结算票据必填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HIS和医保实时结算时，医保生成的唯一业务流水号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otherInfo</w:t>
            </w:r>
          </w:p>
        </w:tc>
        <w:tc>
          <w:tcPr>
            <w:tcW w:w="1584"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其它扩展信息列表</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填写信息需要在电子票据上单独显示的其它扩展信息（未知信息）</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详见A-3,JSON格式列表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otherMedicalList</w:t>
            </w:r>
          </w:p>
        </w:tc>
        <w:tc>
          <w:tcPr>
            <w:tcW w:w="1584"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其它医保信息列表</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填写其它未知医保信息（在电子票据上以内容拼接方式显示）</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详见A-4,JSON格式列表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rPr>
            </w:pP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payChannelDetail</w:t>
            </w:r>
          </w:p>
        </w:tc>
        <w:tc>
          <w:tcPr>
            <w:tcW w:w="1584"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szCs w:val="21"/>
                <w:lang w:bidi="ar"/>
              </w:rPr>
              <w:t>交费渠道列表</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rPr>
              <w:t>直接填写业务系统内部编码值，由医疗平台配置对照如：</w:t>
            </w:r>
            <w:r>
              <w:fldChar w:fldCharType="begin"/>
            </w:r>
            <w:r>
              <w:instrText xml:space="preserve">HYPERLINK \l "_附录4：缴款渠道列表"</w:instrText>
            </w:r>
            <w:r>
              <w:fldChar w:fldCharType="separate"/>
            </w:r>
            <w:r>
              <w:rPr>
                <w:rStyle w:val="40"/>
                <w:rFonts w:hint="eastAsia" w:ascii="微软雅黑" w:hAnsi="微软雅黑" w:eastAsia="微软雅黑" w:cs="微软雅黑"/>
                <w:bCs/>
                <w:szCs w:val="21"/>
              </w:rPr>
              <w:t>附录4交费渠道列表</w:t>
            </w:r>
            <w:r>
              <w:rPr>
                <w:rStyle w:val="40"/>
                <w:rFonts w:ascii="微软雅黑" w:hAnsi="微软雅黑" w:eastAsia="微软雅黑" w:cs="微软雅黑"/>
                <w:bCs/>
                <w:szCs w:val="21"/>
              </w:rPr>
              <w:fldChar w:fldCharType="end"/>
            </w:r>
          </w:p>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详见A-5,JSON格式列表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医保结算信息</w:t>
            </w: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medicalInstitutionCode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定点医疗机构编码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12</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medicalInstitutionName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highlight w:val="yellow"/>
              </w:rPr>
              <w:t>定点医疗机构名称</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20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diagnosticCode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主要诊断代码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50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diagnosticName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主要诊断名称</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 xml:space="preserve">String </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200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医保结算票据必填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scdDiagCode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次要诊断代码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3</w:t>
            </w:r>
            <w:r>
              <w:rPr>
                <w:rFonts w:ascii="微软雅黑" w:hAnsi="微软雅黑" w:eastAsia="微软雅黑" w:cs="微软雅黑"/>
                <w:szCs w:val="21"/>
                <w:highlight w:val="yellow"/>
              </w:rPr>
              <w:t>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scdDiagName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次要诊断名称</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2</w:t>
            </w:r>
            <w:r>
              <w:rPr>
                <w:rFonts w:ascii="微软雅黑" w:hAnsi="微软雅黑" w:eastAsia="微软雅黑" w:cs="微软雅黑"/>
                <w:szCs w:val="21"/>
                <w:highlight w:val="yellow"/>
              </w:rPr>
              <w:t>55</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supninsCode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监管机构代码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9</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lang w:eastAsia="zh-Hans"/>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lang w:eastAsia="zh-Hans"/>
              </w:rPr>
              <w:t>票据监管机构区划代码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policyRangeAmount</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lang w:eastAsia="en-US"/>
                <w14:textFill>
                  <w14:solidFill>
                    <w14:schemeClr w14:val="tx1"/>
                  </w14:solidFill>
                </w14:textFill>
              </w:rPr>
            </w:pPr>
            <w:r>
              <w:rPr>
                <w:rFonts w:hint="eastAsia" w:ascii="微软雅黑" w:hAnsi="微软雅黑" w:eastAsia="微软雅黑" w:cs="微软雅黑"/>
                <w:szCs w:val="21"/>
                <w:highlight w:val="yellow"/>
              </w:rPr>
              <w:t>符合政策范围金额</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Number</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6</w:t>
            </w:r>
            <w:r>
              <w:rPr>
                <w:rFonts w:hint="eastAsia" w:ascii="微软雅黑" w:hAnsi="微软雅黑" w:eastAsia="微软雅黑" w:cs="微软雅黑"/>
                <w:szCs w:val="21"/>
                <w:highlight w:val="yellow"/>
              </w:rPr>
              <w:t>,2</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insurance</w:t>
            </w:r>
            <w:r>
              <w:rPr>
                <w:rFonts w:hint="eastAsia" w:ascii="微软雅黑" w:hAnsi="微软雅黑" w:eastAsia="微软雅黑" w:cs="微软雅黑"/>
                <w:szCs w:val="21"/>
                <w:highlight w:val="yellow"/>
              </w:rPr>
              <w:t>T</w:t>
            </w:r>
            <w:r>
              <w:rPr>
                <w:rFonts w:ascii="微软雅黑" w:hAnsi="微软雅黑" w:eastAsia="微软雅黑" w:cs="微软雅黑"/>
                <w:szCs w:val="21"/>
                <w:highlight w:val="yellow"/>
              </w:rPr>
              <w:t>ype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险种类型</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可参考</w:t>
            </w:r>
            <w:r>
              <w:rPr>
                <w:highlight w:val="yellow"/>
              </w:rPr>
              <w:fldChar w:fldCharType="begin"/>
            </w:r>
            <w:r>
              <w:rPr>
                <w:highlight w:val="yellow"/>
              </w:rPr>
              <w:instrText xml:space="preserve">HYPERLINK \l "_附录13：医保类型"</w:instrText>
            </w:r>
            <w:r>
              <w:rPr>
                <w:highlight w:val="yellow"/>
              </w:rPr>
              <w:fldChar w:fldCharType="separate"/>
            </w:r>
            <w:r>
              <w:rPr>
                <w:rStyle w:val="42"/>
                <w:rFonts w:hint="eastAsia" w:ascii="微软雅黑" w:hAnsi="微软雅黑" w:eastAsia="微软雅黑" w:cs="微软雅黑"/>
                <w:color w:val="auto"/>
                <w:szCs w:val="21"/>
                <w:highlight w:val="yellow"/>
              </w:rPr>
              <w:t>附录13险种类型列表</w:t>
            </w:r>
            <w:r>
              <w:rPr>
                <w:rStyle w:val="42"/>
                <w:rFonts w:ascii="微软雅黑" w:hAnsi="微软雅黑" w:eastAsia="微软雅黑" w:cs="微软雅黑"/>
                <w:color w:val="auto"/>
                <w:szCs w:val="21"/>
                <w:highlight w:val="yellow"/>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medCare</w:t>
            </w:r>
            <w:r>
              <w:rPr>
                <w:rFonts w:ascii="微软雅黑" w:hAnsi="微软雅黑" w:eastAsia="微软雅黑" w:cs="微软雅黑"/>
                <w:szCs w:val="21"/>
                <w:highlight w:val="yellow"/>
              </w:rPr>
              <w:t>Join</w:t>
            </w:r>
            <w:r>
              <w:rPr>
                <w:rFonts w:hint="eastAsia" w:ascii="微软雅黑" w:hAnsi="微软雅黑" w:eastAsia="微软雅黑" w:cs="微软雅黑"/>
                <w:szCs w:val="21"/>
                <w:highlight w:val="yellow"/>
              </w:rPr>
              <w:t>AreaCode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参保地医保区划</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w:t>
            </w:r>
            <w:r>
              <w:rPr>
                <w:rFonts w:ascii="微软雅黑" w:hAnsi="微软雅黑" w:eastAsia="微软雅黑" w:cs="微软雅黑"/>
                <w:szCs w:val="21"/>
                <w:highlight w:val="yellow"/>
              </w:rPr>
              <w:t>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medCareAreaCode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就医地医保行政区划码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20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ascii="微软雅黑" w:hAnsi="微软雅黑" w:eastAsia="微软雅黑" w:cs="微软雅黑"/>
                <w:szCs w:val="21"/>
                <w:highlight w:val="yellow"/>
              </w:rPr>
              <w:t>medinsSetlId</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医保结算ID</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w:t>
            </w:r>
            <w:r>
              <w:rPr>
                <w:rFonts w:ascii="微软雅黑" w:hAnsi="微软雅黑" w:eastAsia="微软雅黑" w:cs="微软雅黑"/>
                <w:color w:val="000000" w:themeColor="text1"/>
                <w:szCs w:val="21"/>
                <w:highlight w:val="yellow"/>
                <w14:textFill>
                  <w14:solidFill>
                    <w14:schemeClr w14:val="tx1"/>
                  </w14:solidFill>
                </w14:textFill>
              </w:rPr>
              <w:t>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3</w:t>
            </w:r>
            <w:r>
              <w:rPr>
                <w:rFonts w:ascii="微软雅黑" w:hAnsi="微软雅黑" w:eastAsia="微软雅黑" w:cs="微软雅黑"/>
                <w:szCs w:val="21"/>
                <w:highlight w:val="yellow"/>
              </w:rPr>
              <w:t>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ascii="微软雅黑" w:hAnsi="微软雅黑" w:eastAsia="微软雅黑" w:cs="微软雅黑"/>
                <w:szCs w:val="21"/>
                <w:highlight w:val="yellow"/>
              </w:rPr>
              <w:t>fix</w:t>
            </w:r>
            <w:r>
              <w:rPr>
                <w:rFonts w:hint="eastAsia" w:ascii="微软雅黑" w:hAnsi="微软雅黑" w:eastAsia="微软雅黑" w:cs="微软雅黑"/>
                <w:szCs w:val="21"/>
                <w:highlight w:val="yellow"/>
              </w:rPr>
              <w:t>M</w:t>
            </w:r>
            <w:r>
              <w:rPr>
                <w:rFonts w:ascii="微软雅黑" w:hAnsi="微软雅黑" w:eastAsia="微软雅黑" w:cs="微软雅黑"/>
                <w:szCs w:val="21"/>
                <w:highlight w:val="yellow"/>
              </w:rPr>
              <w:t>edInsMdtrtId</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ascii="微软雅黑" w:hAnsi="微软雅黑" w:eastAsia="微软雅黑" w:cs="微软雅黑"/>
                <w:color w:val="000000" w:themeColor="text1"/>
                <w:szCs w:val="21"/>
                <w:highlight w:val="yellow"/>
                <w14:textFill>
                  <w14:solidFill>
                    <w14:schemeClr w14:val="tx1"/>
                  </w14:solidFill>
                </w14:textFill>
              </w:rPr>
              <w:t>医疗机构就诊ID</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w:t>
            </w:r>
            <w:r>
              <w:rPr>
                <w:rFonts w:ascii="微软雅黑" w:hAnsi="微软雅黑" w:eastAsia="微软雅黑" w:cs="微软雅黑"/>
                <w:color w:val="000000" w:themeColor="text1"/>
                <w:szCs w:val="21"/>
                <w:highlight w:val="yellow"/>
                <w14:textFill>
                  <w14:solidFill>
                    <w14:schemeClr w14:val="tx1"/>
                  </w14:solidFill>
                </w14:textFill>
              </w:rPr>
              <w:t>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szCs w:val="21"/>
                <w:highlight w:val="yellow"/>
              </w:rPr>
              <w:t>5</w:t>
            </w:r>
            <w:r>
              <w:rPr>
                <w:rFonts w:ascii="微软雅黑" w:hAnsi="微软雅黑" w:eastAsia="微软雅黑" w:cs="微软雅黑"/>
                <w:szCs w:val="21"/>
                <w:highlight w:val="yellow"/>
              </w:rPr>
              <w:t>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全自费时必填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medinsSetlTime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医保结算时间</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S</w:t>
            </w:r>
            <w:r>
              <w:rPr>
                <w:rFonts w:ascii="微软雅黑" w:hAnsi="微软雅黑" w:eastAsia="微软雅黑" w:cs="微软雅黑"/>
                <w:szCs w:val="21"/>
                <w:highlight w:val="yellow"/>
              </w:rPr>
              <w:t>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yyyy</w:t>
            </w:r>
            <w:r>
              <w:rPr>
                <w:rFonts w:ascii="微软雅黑" w:hAnsi="微软雅黑" w:eastAsia="微软雅黑" w:cs="微软雅黑"/>
                <w:szCs w:val="21"/>
                <w:highlight w:val="yellow"/>
              </w:rPr>
              <w:t>MMdd</w:t>
            </w:r>
            <w:r>
              <w:rPr>
                <w:rFonts w:ascii="微软雅黑" w:hAnsi="微软雅黑" w:eastAsia="微软雅黑" w:cs="微软雅黑"/>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szCs w:val="21"/>
                <w:highlight w:val="yellow"/>
              </w:rPr>
              <w:t>accountMulaidPaid</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个人账户共计支付</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14,2</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d</w:t>
            </w:r>
            <w:r>
              <w:rPr>
                <w:rFonts w:ascii="微软雅黑" w:hAnsi="微软雅黑" w:eastAsia="微软雅黑" w:cs="微软雅黑"/>
                <w:color w:val="000000" w:themeColor="text1"/>
                <w:szCs w:val="21"/>
                <w:highlight w:val="yellow"/>
                <w14:textFill>
                  <w14:solidFill>
                    <w14:schemeClr w14:val="tx1"/>
                  </w14:solidFill>
                </w14:textFill>
              </w:rPr>
              <w:t>iseaseCode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病种编码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w:t>
            </w:r>
            <w:r>
              <w:rPr>
                <w:rFonts w:ascii="微软雅黑" w:hAnsi="微软雅黑" w:eastAsia="微软雅黑" w:cs="微软雅黑"/>
                <w:szCs w:val="21"/>
                <w:highlight w:val="yellow"/>
              </w:rPr>
              <w:t>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color w:val="000000" w:themeColor="text1"/>
                <w:szCs w:val="21"/>
                <w:highlight w:val="yellow"/>
                <w14:textFill>
                  <w14:solidFill>
                    <w14:schemeClr w14:val="tx1"/>
                  </w14:solidFill>
                </w14:textFill>
              </w:rPr>
              <w:t>DRG</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编码</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14:textFill>
                  <w14:solidFill>
                    <w14:schemeClr w14:val="tx1"/>
                  </w14:solidFill>
                </w14:textFill>
              </w:rPr>
              <w:t>医保结</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算</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自费均</w:t>
            </w:r>
            <w:r>
              <w:rPr>
                <w:rFonts w:hint="eastAsia" w:ascii="微软雅黑" w:hAnsi="微软雅黑" w:eastAsia="微软雅黑" w:cs="微软雅黑"/>
                <w:color w:val="000000" w:themeColor="text1"/>
                <w:szCs w:val="21"/>
                <w:highlight w:val="yellow"/>
                <w14:textFill>
                  <w14:solidFill>
                    <w14:schemeClr w14:val="tx1"/>
                  </w14:solidFill>
                </w14:textFill>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d</w:t>
            </w:r>
            <w:r>
              <w:rPr>
                <w:rFonts w:ascii="微软雅黑" w:hAnsi="微软雅黑" w:eastAsia="微软雅黑" w:cs="微软雅黑"/>
                <w:color w:val="000000" w:themeColor="text1"/>
                <w:szCs w:val="21"/>
                <w:highlight w:val="yellow"/>
                <w14:textFill>
                  <w14:solidFill>
                    <w14:schemeClr w14:val="tx1"/>
                  </w14:solidFill>
                </w14:textFill>
              </w:rPr>
              <w:t>iseaseName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病种名称</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w:t>
            </w:r>
            <w:r>
              <w:rPr>
                <w:rFonts w:ascii="微软雅黑" w:hAnsi="微软雅黑" w:eastAsia="微软雅黑" w:cs="微软雅黑"/>
                <w:szCs w:val="21"/>
                <w:highlight w:val="yellow"/>
              </w:rPr>
              <w:t>00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szCs w:val="21"/>
                <w:highlight w:val="yellow"/>
              </w:rPr>
              <w:t>医保结算票必填</w:t>
            </w:r>
          </w:p>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color w:val="000000" w:themeColor="text1"/>
                <w:szCs w:val="21"/>
                <w:highlight w:val="yellow"/>
                <w14:textFill>
                  <w14:solidFill>
                    <w14:schemeClr w14:val="tx1"/>
                  </w14:solidFill>
                </w14:textFill>
              </w:rPr>
              <w:t>DRG</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名称</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14:textFill>
                  <w14:solidFill>
                    <w14:schemeClr w14:val="tx1"/>
                  </w14:solidFill>
                </w14:textFill>
              </w:rPr>
              <w:t>医保结</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算</w:t>
            </w:r>
            <w:r>
              <w:rPr>
                <w:rFonts w:ascii="微软雅黑" w:hAnsi="微软雅黑" w:eastAsia="微软雅黑" w:cs="微软雅黑"/>
                <w:color w:val="000000" w:themeColor="text1"/>
                <w:szCs w:val="21"/>
                <w:highlight w:val="yellow"/>
                <w:lang w:eastAsia="zh-Hans"/>
                <w14:textFill>
                  <w14:solidFill>
                    <w14:schemeClr w14:val="tx1"/>
                  </w14:solidFill>
                </w14:textFill>
              </w:rPr>
              <w:t>、</w:t>
            </w:r>
            <w:r>
              <w:rPr>
                <w:rFonts w:hint="eastAsia" w:ascii="微软雅黑" w:hAnsi="微软雅黑" w:eastAsia="微软雅黑" w:cs="微软雅黑"/>
                <w:color w:val="000000" w:themeColor="text1"/>
                <w:szCs w:val="21"/>
                <w:highlight w:val="yellow"/>
                <w:lang w:eastAsia="zh-Hans"/>
                <w14:textFill>
                  <w14:solidFill>
                    <w14:schemeClr w14:val="tx1"/>
                  </w14:solidFill>
                </w14:textFill>
              </w:rPr>
              <w:t>自费均</w:t>
            </w:r>
            <w:r>
              <w:rPr>
                <w:rFonts w:hint="eastAsia" w:ascii="微软雅黑" w:hAnsi="微软雅黑" w:eastAsia="微软雅黑" w:cs="微软雅黑"/>
                <w:color w:val="000000" w:themeColor="text1"/>
                <w:szCs w:val="21"/>
                <w:highlight w:val="yellow"/>
                <w14:textFill>
                  <w14:solidFill>
                    <w14:schemeClr w14:val="tx1"/>
                  </w14:solidFill>
                </w14:textFill>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dscgMaindiagCode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住院主诊断代码</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color w:val="000000" w:themeColor="text1"/>
                <w:szCs w:val="21"/>
                <w:highlight w:val="yellow"/>
                <w14:textFill>
                  <w14:solidFill>
                    <w14:schemeClr w14:val="tx1"/>
                  </w14:solidFill>
                </w14:textFill>
              </w:rPr>
              <w:t>50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jc w:val="center"/>
              <w:rPr>
                <w:rFonts w:ascii="微软雅黑" w:hAnsi="微软雅黑" w:eastAsia="微软雅黑" w:cs="微软雅黑"/>
                <w:szCs w:val="21"/>
                <w:highlight w:val="yellow"/>
              </w:rPr>
            </w:pPr>
          </w:p>
        </w:tc>
        <w:tc>
          <w:tcPr>
            <w:tcW w:w="1500"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dscgMaindiagName</w:t>
            </w:r>
          </w:p>
        </w:tc>
        <w:tc>
          <w:tcPr>
            <w:tcW w:w="1584"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住院主诊断名称</w:t>
            </w:r>
          </w:p>
        </w:tc>
        <w:tc>
          <w:tcPr>
            <w:tcW w:w="1276"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String</w:t>
            </w:r>
          </w:p>
        </w:tc>
        <w:tc>
          <w:tcPr>
            <w:tcW w:w="715"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ascii="微软雅黑" w:hAnsi="微软雅黑" w:eastAsia="微软雅黑" w:cs="微软雅黑"/>
                <w:color w:val="000000" w:themeColor="text1"/>
                <w:szCs w:val="21"/>
                <w:highlight w:val="yellow"/>
                <w14:textFill>
                  <w14:solidFill>
                    <w14:schemeClr w14:val="tx1"/>
                  </w14:solidFill>
                </w14:textFill>
              </w:rPr>
              <w:t>300</w:t>
            </w:r>
          </w:p>
        </w:tc>
        <w:tc>
          <w:tcPr>
            <w:tcW w:w="701"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r>
              <w:rPr>
                <w:rFonts w:hint="eastAsia" w:ascii="微软雅黑" w:hAnsi="微软雅黑" w:eastAsia="微软雅黑" w:cs="微软雅黑"/>
                <w:color w:val="000000" w:themeColor="text1"/>
                <w:szCs w:val="21"/>
                <w:highlight w:val="yellow"/>
                <w14:textFill>
                  <w14:solidFill>
                    <w14:schemeClr w14:val="tx1"/>
                  </w14:solidFill>
                </w14:textFill>
              </w:rPr>
              <w:t>否</w:t>
            </w:r>
          </w:p>
        </w:tc>
        <w:tc>
          <w:tcPr>
            <w:tcW w:w="2712" w:type="dxa"/>
            <w:shd w:val="clear" w:color="auto" w:fill="auto"/>
            <w:vAlign w:val="center"/>
          </w:tcPr>
          <w:p>
            <w:pPr>
              <w:spacing w:before="156" w:beforeLines="50" w:after="156" w:afterLines="50" w:line="0" w:lineRule="atLeast"/>
              <w:rPr>
                <w:rFonts w:ascii="微软雅黑" w:hAnsi="微软雅黑" w:eastAsia="微软雅黑" w:cs="微软雅黑"/>
                <w:color w:val="000000" w:themeColor="text1"/>
                <w:szCs w:val="21"/>
                <w:highlight w:val="yellow"/>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jc w:val="center"/>
              <w:rPr>
                <w:rFonts w:ascii="微软雅黑" w:hAnsi="微软雅黑" w:eastAsia="微软雅黑" w:cs="微软雅黑"/>
              </w:rPr>
            </w:pPr>
            <w:r>
              <w:rPr>
                <w:rFonts w:hint="eastAsia" w:ascii="微软雅黑" w:hAnsi="微软雅黑" w:eastAsia="微软雅黑" w:cs="微软雅黑"/>
                <w:szCs w:val="21"/>
              </w:rPr>
              <w:t>其它</w:t>
            </w:r>
          </w:p>
        </w:tc>
        <w:tc>
          <w:tcPr>
            <w:tcW w:w="1500"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color w:val="000000" w:themeColor="text1"/>
                <w:szCs w:val="21"/>
                <w14:textFill>
                  <w14:solidFill>
                    <w14:schemeClr w14:val="tx1"/>
                  </w14:solidFill>
                </w14:textFill>
              </w:rPr>
              <w:t>eBillRelateNo</w:t>
            </w:r>
          </w:p>
        </w:tc>
        <w:tc>
          <w:tcPr>
            <w:tcW w:w="1584" w:type="dxa"/>
            <w:vAlign w:val="center"/>
          </w:tcPr>
          <w:p>
            <w:pPr>
              <w:spacing w:before="156" w:beforeLines="50" w:after="156" w:afterLines="50" w:line="0" w:lineRule="atLeast"/>
              <w:rPr>
                <w:rFonts w:ascii="微软雅黑" w:hAnsi="微软雅黑" w:eastAsia="微软雅黑" w:cs="微软雅黑"/>
                <w:szCs w:val="21"/>
                <w:lang w:bidi="ar"/>
              </w:rPr>
            </w:pPr>
            <w:r>
              <w:rPr>
                <w:rFonts w:hint="eastAsia" w:ascii="微软雅黑" w:hAnsi="微软雅黑" w:eastAsia="微软雅黑" w:cs="微软雅黑"/>
                <w:color w:val="000000" w:themeColor="text1"/>
                <w:szCs w:val="21"/>
                <w14:textFill>
                  <w14:solidFill>
                    <w14:schemeClr w14:val="tx1"/>
                  </w14:solidFill>
                </w14:textFill>
              </w:rPr>
              <w:t>业务票据关联号</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themeColor="text1"/>
                <w:szCs w:val="21"/>
                <w14:textFill>
                  <w14:solidFill>
                    <w14:schemeClr w14:val="tx1"/>
                  </w14:solidFill>
                </w14:textFill>
              </w:rPr>
              <w:t>String</w:t>
            </w:r>
          </w:p>
        </w:tc>
        <w:tc>
          <w:tcPr>
            <w:tcW w:w="7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themeColor="text1"/>
                <w:szCs w:val="21"/>
                <w14:textFill>
                  <w14:solidFill>
                    <w14:schemeClr w14:val="tx1"/>
                  </w14:solidFill>
                </w14:textFill>
              </w:rPr>
              <w:t>32</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themeColor="text1"/>
                <w:szCs w:val="21"/>
                <w14:textFill>
                  <w14:solidFill>
                    <w14:schemeClr w14:val="tx1"/>
                  </w14:solidFill>
                </w14:textFill>
              </w:rPr>
              <w:t>否</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themeColor="text1"/>
                <w:szCs w:val="21"/>
                <w14:textFill>
                  <w14:solidFill>
                    <w14:schemeClr w14:val="tx1"/>
                  </w14:solidFill>
                </w14:textFill>
              </w:rPr>
              <w:t>如一笔业务数据需要开具N张电子票据，则N张电子票对应该值保持一致，用于后期关联查询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isArrears</w:t>
            </w:r>
          </w:p>
        </w:tc>
        <w:tc>
          <w:tcPr>
            <w:tcW w:w="1584"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是否可流通</w:t>
            </w:r>
          </w:p>
        </w:tc>
        <w:tc>
          <w:tcPr>
            <w:tcW w:w="127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1</w:t>
            </w:r>
          </w:p>
        </w:tc>
        <w:tc>
          <w:tcPr>
            <w:tcW w:w="701"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0-否、1-是（如欠费情况根据医院业务要求该票据是否可流通）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szCs w:val="21"/>
              </w:rPr>
            </w:pPr>
          </w:p>
        </w:tc>
        <w:tc>
          <w:tcPr>
            <w:tcW w:w="1500"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arrearsReason</w:t>
            </w:r>
          </w:p>
        </w:tc>
        <w:tc>
          <w:tcPr>
            <w:tcW w:w="1584"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不可流通原因</w:t>
            </w:r>
          </w:p>
        </w:tc>
        <w:tc>
          <w:tcPr>
            <w:tcW w:w="1276"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String</w:t>
            </w:r>
          </w:p>
        </w:tc>
        <w:tc>
          <w:tcPr>
            <w:tcW w:w="715"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200</w:t>
            </w:r>
          </w:p>
        </w:tc>
        <w:tc>
          <w:tcPr>
            <w:tcW w:w="701"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否</w:t>
            </w:r>
          </w:p>
        </w:tc>
        <w:tc>
          <w:tcPr>
            <w:tcW w:w="2712"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szCs w:val="21"/>
              </w:rPr>
              <w:t>isArrears=0，</w:t>
            </w:r>
            <w:r>
              <w:rPr>
                <w:rFonts w:hint="eastAsia" w:ascii="微软雅黑" w:hAnsi="微软雅黑" w:eastAsia="微软雅黑" w:cs="微软雅黑"/>
              </w:rPr>
              <w:t>填写不可流通的原因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restart"/>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项目</w:t>
            </w: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chargeDetail</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收费项目明细</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详见A-1,JSON格式列表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Merge w:val="continue"/>
            <w:vAlign w:val="center"/>
          </w:tcPr>
          <w:p>
            <w:pPr>
              <w:spacing w:before="156" w:beforeLines="50" w:after="156" w:afterLines="50" w:line="0" w:lineRule="atLeast"/>
              <w:rPr>
                <w:rFonts w:ascii="微软雅黑" w:hAnsi="微软雅黑" w:eastAsia="微软雅黑" w:cs="微软雅黑"/>
                <w:color w:val="FF0000"/>
                <w:szCs w:val="21"/>
              </w:rPr>
            </w:pPr>
          </w:p>
        </w:tc>
        <w:tc>
          <w:tcPr>
            <w:tcW w:w="15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listDetail</w:t>
            </w:r>
          </w:p>
        </w:tc>
        <w:tc>
          <w:tcPr>
            <w:tcW w:w="15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清单项目明细</w:t>
            </w:r>
          </w:p>
        </w:tc>
        <w:tc>
          <w:tcPr>
            <w:tcW w:w="1276"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0"/>
                <w:szCs w:val="18"/>
              </w:rPr>
              <w:t>JSONArray</w:t>
            </w:r>
          </w:p>
        </w:tc>
        <w:tc>
          <w:tcPr>
            <w:tcW w:w="71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70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7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详见A-2,JSON格式列表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1"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诊断列表</w:t>
            </w:r>
          </w:p>
        </w:tc>
        <w:tc>
          <w:tcPr>
            <w:tcW w:w="150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diagList</w:t>
            </w:r>
          </w:p>
        </w:tc>
        <w:tc>
          <w:tcPr>
            <w:tcW w:w="15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诊断列表</w:t>
            </w:r>
          </w:p>
        </w:tc>
        <w:tc>
          <w:tcPr>
            <w:tcW w:w="1276"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 w:val="21"/>
                <w:szCs w:val="20"/>
                <w:highlight w:val="yellow"/>
              </w:rPr>
              <w:t>JSONArray</w:t>
            </w:r>
          </w:p>
        </w:tc>
        <w:tc>
          <w:tcPr>
            <w:tcW w:w="715" w:type="dxa"/>
            <w:vAlign w:val="center"/>
          </w:tcPr>
          <w:p>
            <w:pPr>
              <w:spacing w:before="156" w:beforeLines="50" w:after="156" w:afterLines="50" w:line="0" w:lineRule="atLeast"/>
              <w:jc w:val="center"/>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不限</w:t>
            </w:r>
          </w:p>
        </w:tc>
        <w:tc>
          <w:tcPr>
            <w:tcW w:w="701"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712" w:type="dxa"/>
            <w:vAlign w:val="center"/>
          </w:tcPr>
          <w:p>
            <w:pPr>
              <w:spacing w:before="156" w:beforeLines="50" w:after="156" w:afterLines="50" w:line="0" w:lineRule="atLeast"/>
              <w:rPr>
                <w:rFonts w:ascii="微软雅黑" w:hAnsi="微软雅黑" w:eastAsia="微软雅黑" w:cs="微软雅黑"/>
                <w:b/>
                <w:bCs/>
                <w:szCs w:val="21"/>
                <w:highlight w:val="yellow"/>
              </w:rPr>
            </w:pPr>
            <w:r>
              <w:rPr>
                <w:rFonts w:hint="eastAsia" w:ascii="微软雅黑" w:hAnsi="微软雅黑" w:eastAsia="微软雅黑" w:cs="微软雅黑"/>
                <w:b/>
                <w:bCs/>
                <w:szCs w:val="21"/>
                <w:highlight w:val="yellow"/>
              </w:rPr>
              <w:t>详见A-8,JSON格式列表</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A-1 收费项目明细chargeDetail-&gt;JSONObject类型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3"/>
        <w:gridCol w:w="903"/>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sortNo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默认从1开始，每个收费项目序号值递增1，本次不允许重复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收费项目代码</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填写业务系统内部编码值，由医疗平台配置对照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收费项目名称</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填写业务系统内部项目名称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计量单位</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std</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收费标准</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如无标准，填写金额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数量</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如无数量，填写1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金额</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收费标准*数量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selfAmt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自费金额</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remark</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备注</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A-2 清单项目明细listDetail-&gt;JSONObject类型</w:t>
      </w:r>
    </w:p>
    <w:tbl>
      <w:tblPr>
        <w:tblStyle w:val="35"/>
        <w:tblW w:w="90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listDetailNo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明细流水号</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明细流水号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填写业务系统内部编码值，由医疗平台配置对照,如：床位费、检查费</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如填写，值必须在收费项目列表中存在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chargeName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收费项目名称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prescribeCode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处方编码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listTypeCode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药品类别编码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如药品分类编码01，有则填写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listTypeName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药品类别名称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如药品分类名称，抗生素类抗感染药物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药品编码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如药品编码，有则填写（如果是医保，则填医保药品编号）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药品名称</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如药品名称，器材名称等（如果是医保，则填医保药品名称）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form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剂型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specification</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规格</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unit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 xml:space="preserve">计量单位 </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std</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单价</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14,4</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数量</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color w:val="FF0000"/>
                <w:szCs w:val="21"/>
                <w:highlight w:val="yellow"/>
              </w:rPr>
              <w:t>14,6</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amt</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金额</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Number</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14,4</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selfAmt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自费金额</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14,4</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如无金额，填写0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receivableAmt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应收费用</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14,6</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medicalCareType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医保药品分类</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1：无自负/甲</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2：有自负/乙</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3：全自负/丙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medCareItemType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医保项目类型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medReimburseRate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医保报销比例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3,2</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remark</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备注</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sortNo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chrgtype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333333"/>
                <w:sz w:val="21"/>
                <w:szCs w:val="21"/>
                <w:shd w:val="clear" w:color="auto" w:fill="FFFFFF"/>
              </w:rPr>
              <w:t>费用类型</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9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payDate</w:t>
            </w:r>
          </w:p>
        </w:tc>
        <w:tc>
          <w:tcPr>
            <w:tcW w:w="1984" w:type="dxa"/>
            <w:vAlign w:val="center"/>
          </w:tcPr>
          <w:p>
            <w:pPr>
              <w:spacing w:before="156" w:beforeLines="50" w:after="156" w:afterLines="50" w:line="0" w:lineRule="atLeast"/>
              <w:rPr>
                <w:rFonts w:ascii="微软雅黑" w:hAnsi="微软雅黑" w:eastAsia="微软雅黑" w:cs="微软雅黑"/>
                <w:color w:val="333333"/>
                <w:sz w:val="21"/>
                <w:szCs w:val="21"/>
                <w:highlight w:val="yellow"/>
                <w:shd w:val="clear" w:color="auto" w:fill="FFFFFF"/>
              </w:rPr>
            </w:pPr>
            <w:r>
              <w:rPr>
                <w:rFonts w:hint="eastAsia" w:ascii="微软雅黑" w:hAnsi="微软雅黑" w:eastAsia="微软雅黑" w:cs="微软雅黑"/>
                <w:highlight w:val="yellow"/>
              </w:rPr>
              <w:t>费款所属期</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90"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医保结算必填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highlight w:val="yellow"/>
              </w:rPr>
              <w:t>格式：</w:t>
            </w:r>
            <w:r>
              <w:rPr>
                <w:rFonts w:ascii="微软雅黑" w:hAnsi="微软雅黑" w:eastAsia="微软雅黑" w:cs="微软雅黑"/>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medCareItemCode</w:t>
            </w:r>
          </w:p>
        </w:tc>
        <w:tc>
          <w:tcPr>
            <w:tcW w:w="1984" w:type="dxa"/>
            <w:vAlign w:val="center"/>
          </w:tcPr>
          <w:p>
            <w:pPr>
              <w:spacing w:before="156" w:beforeLines="50" w:after="156" w:afterLines="50" w:line="0" w:lineRule="atLeast"/>
              <w:rPr>
                <w:rFonts w:ascii="微软雅黑" w:hAnsi="微软雅黑" w:eastAsia="微软雅黑" w:cs="微软雅黑"/>
                <w:color w:val="333333"/>
                <w:sz w:val="21"/>
                <w:szCs w:val="21"/>
                <w:highlight w:val="yellow"/>
                <w:shd w:val="clear" w:color="auto" w:fill="FFFFFF"/>
              </w:rPr>
            </w:pPr>
            <w:r>
              <w:rPr>
                <w:rFonts w:hint="eastAsia" w:ascii="微软雅黑" w:hAnsi="微软雅黑" w:eastAsia="微软雅黑" w:cs="微软雅黑"/>
                <w:szCs w:val="21"/>
                <w:highlight w:val="yellow"/>
              </w:rPr>
              <w:t>医保项目编码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100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是</w:t>
            </w:r>
          </w:p>
        </w:tc>
        <w:tc>
          <w:tcPr>
            <w:tcW w:w="2190" w:type="dxa"/>
            <w:vAlign w:val="center"/>
          </w:tcPr>
          <w:p>
            <w:pPr>
              <w:spacing w:before="156" w:beforeLines="50" w:after="156" w:afterLines="50" w:line="0" w:lineRule="atLeast"/>
              <w:rPr>
                <w:rFonts w:ascii="微软雅黑" w:hAnsi="微软雅黑" w:eastAsia="微软雅黑" w:cs="微软雅黑"/>
                <w:highlight w:val="yellow"/>
              </w:rPr>
            </w:pPr>
            <w:r>
              <w:rPr>
                <w:rFonts w:hint="eastAsia" w:ascii="微软雅黑" w:hAnsi="微软雅黑" w:eastAsia="微软雅黑" w:cs="微软雅黑"/>
                <w:highlight w:val="yellow"/>
              </w:rPr>
              <w:t>医保结算必填</w:t>
            </w:r>
          </w:p>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属于国家医保目录内的无论是否医保结算都必须填写，影响报销。</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A-3 其它扩展信息列表otherInfo-&gt;JSONObject类型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87"/>
        <w:gridCol w:w="939"/>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8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39"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1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3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默认从1开始，每项数据序号值递增1，本次不允许重复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扩展信息名称</w:t>
            </w:r>
          </w:p>
        </w:tc>
        <w:tc>
          <w:tcPr>
            <w:tcW w:w="11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3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扩展信息值</w:t>
            </w:r>
          </w:p>
        </w:tc>
        <w:tc>
          <w:tcPr>
            <w:tcW w:w="118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39"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其它扩展信息列表传值说明：</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除正常业务传值之外，其它医保相关的信息必须传入，根据医保类型传值，参考如下说明：</w:t>
      </w:r>
    </w:p>
    <w:p>
      <w:pPr>
        <w:numPr>
          <w:ilvl w:val="0"/>
          <w:numId w:val="13"/>
        </w:numPr>
        <w:tabs>
          <w:tab w:val="left" w:pos="249"/>
          <w:tab w:val="left" w:pos="992"/>
          <w:tab w:val="center" w:pos="4153"/>
        </w:tabs>
        <w:spacing w:before="156" w:beforeLines="50" w:after="156" w:afterLines="50" w:line="0" w:lineRule="atLeast"/>
        <w:ind w:left="0" w:firstLine="0"/>
        <w:jc w:val="both"/>
        <w:rPr>
          <w:rFonts w:ascii="微软雅黑" w:hAnsi="微软雅黑" w:eastAsia="微软雅黑" w:cs="微软雅黑"/>
          <w:b/>
          <w:bCs/>
          <w:szCs w:val="21"/>
        </w:rPr>
      </w:pPr>
      <w:r>
        <w:rPr>
          <w:rFonts w:hint="eastAsia" w:ascii="微软雅黑" w:hAnsi="微软雅黑" w:eastAsia="微软雅黑" w:cs="微软雅黑"/>
          <w:b/>
          <w:bCs/>
          <w:szCs w:val="21"/>
        </w:rPr>
        <w:t>医保结算类型开具电子票据，传值说明</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A、其它支出信息</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infoNo参数传值：</w:t>
      </w:r>
      <w:r>
        <w:rPr>
          <w:rFonts w:hint="eastAsia" w:ascii="微软雅黑" w:hAnsi="微软雅黑" w:eastAsia="微软雅黑" w:cs="微软雅黑"/>
          <w:szCs w:val="21"/>
        </w:rPr>
        <w:t>14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infoName参数传值：</w:t>
      </w:r>
      <w:r>
        <w:rPr>
          <w:rFonts w:hint="eastAsia" w:ascii="微软雅黑" w:hAnsi="微软雅黑" w:eastAsia="微软雅黑" w:cs="微软雅黑"/>
          <w:szCs w:val="21"/>
        </w:rPr>
        <w:t>其它支出信息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infoValue参数传值：</w:t>
      </w:r>
      <w:r>
        <w:rPr>
          <w:rFonts w:hint="eastAsia" w:ascii="微软雅黑" w:hAnsi="微软雅黑" w:eastAsia="微软雅黑" w:cs="微软雅黑"/>
          <w:color w:val="000000"/>
          <w:shd w:val="clear" w:color="auto" w:fill="FFFFFF"/>
        </w:rPr>
        <w:t xml:space="preserve">公务员医疗补助资金支出:1.00;企业补充医疗保险基金支出:1.00;居民大病保险资金支出:1.00;职工大额医疗费用补助基金支出:1.00;医疗救助基金支出:1.00;医院负担金额:1.00;其他支出:1.00 </w:t>
      </w:r>
      <w:r>
        <w:rPr>
          <w:rFonts w:hint="eastAsia" w:ascii="微软雅黑" w:hAnsi="微软雅黑" w:eastAsia="微软雅黑" w:cs="微软雅黑"/>
          <w:szCs w:val="21"/>
        </w:rPr>
        <w:t xml:space="preserve"> -&gt;不同其它医保参数用英文分号;拼接，每个参数金额按实际业务值传入</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B、其它医保信息</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infoNo参数传值：</w:t>
      </w:r>
      <w:r>
        <w:rPr>
          <w:rFonts w:hint="eastAsia" w:ascii="微软雅黑" w:hAnsi="微软雅黑" w:eastAsia="微软雅黑" w:cs="微软雅黑"/>
          <w:szCs w:val="21"/>
        </w:rPr>
        <w:t>15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infoName参数传值：</w:t>
      </w:r>
      <w:r>
        <w:rPr>
          <w:rFonts w:hint="eastAsia" w:ascii="微软雅黑" w:hAnsi="微软雅黑" w:eastAsia="微软雅黑" w:cs="微软雅黑"/>
          <w:szCs w:val="21"/>
        </w:rPr>
        <w:t>其它医保信息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infoValue参数传值：</w:t>
      </w:r>
      <w:r>
        <w:rPr>
          <w:rFonts w:hint="eastAsia" w:ascii="微软雅黑" w:hAnsi="微软雅黑" w:eastAsia="微软雅黑" w:cs="微软雅黑"/>
          <w:szCs w:val="21"/>
        </w:rPr>
        <w:t xml:space="preserve"> </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 xml:space="preserve">:1.00 </w:t>
      </w:r>
      <w:r>
        <w:rPr>
          <w:rFonts w:hint="eastAsia" w:ascii="微软雅黑" w:hAnsi="微软雅黑" w:eastAsia="微软雅黑" w:cs="微软雅黑"/>
          <w:szCs w:val="21"/>
        </w:rPr>
        <w:t xml:space="preserve"> -&gt;不同其它医保参数用英文分号;拼接，每个参数金额按实际业务值传入</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例如：</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"公务员医保支付",</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"55.55",</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公务员医疗补助资金支出:1.00;企业补充医疗保险基金支出:1.00;居民大病保险资金支出:1.00;职工大额医疗费用补助基金支出:1.00;医疗救助基金支出:1.00;医院负担金额:1.00;其他支出:1.00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:1.00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:1.00",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numPr>
          <w:ilvl w:val="0"/>
          <w:numId w:val="13"/>
        </w:numPr>
        <w:tabs>
          <w:tab w:val="left" w:pos="249"/>
          <w:tab w:val="left" w:pos="992"/>
          <w:tab w:val="center" w:pos="4153"/>
        </w:tabs>
        <w:spacing w:before="156" w:beforeLines="50" w:after="156" w:afterLines="50" w:line="0" w:lineRule="atLeast"/>
        <w:ind w:left="0" w:firstLine="0"/>
        <w:jc w:val="both"/>
        <w:rPr>
          <w:rFonts w:ascii="微软雅黑" w:hAnsi="微软雅黑" w:eastAsia="微软雅黑" w:cs="微软雅黑"/>
          <w:b/>
          <w:bCs/>
          <w:szCs w:val="21"/>
        </w:rPr>
      </w:pPr>
      <w:r>
        <w:rPr>
          <w:rFonts w:hint="eastAsia" w:ascii="微软雅黑" w:hAnsi="微软雅黑" w:eastAsia="微软雅黑" w:cs="微软雅黑"/>
          <w:b/>
          <w:bCs/>
          <w:szCs w:val="21"/>
        </w:rPr>
        <w:t>非医保结算类型开具电子票据，传值说明</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infoNo参数传值：15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infoName参数传值：其它医保信息 -&gt;固定值</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infoValue参数传值：</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列如：</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"卡账户余额",</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"55.55",</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公务员医疗补助资金支出:0.00;企业补充医疗保险基金支出:0.00;居民大病保险资金支出:0.00;职工大额医疗费用补助基金支出:0.00;医疗救助基金支出:0.00;医院负担金额:0.00;其他支出:0.00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或</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"14",</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其它支出信息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公务员医疗补助资金支出:0.00;企业补充医疗保险基金支出:0.00;居民大病保险资金支出:0.00;职工大额医疗费用补助基金支出:0.00;医疗救助基金支出:0.00;医院负担金额:0.00;其他支出:0.00</w:t>
      </w:r>
      <w:r>
        <w:rPr>
          <w:rFonts w:hint="eastAsia" w:ascii="微软雅黑" w:hAnsi="微软雅黑" w:eastAsia="微软雅黑" w:cs="微软雅黑"/>
        </w:rPr>
        <w:t>",</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infoNo":</w:t>
      </w:r>
      <w:r>
        <w:rPr>
          <w:rFonts w:hint="eastAsia" w:ascii="微软雅黑" w:hAnsi="微软雅黑" w:eastAsia="微软雅黑" w:cs="微软雅黑"/>
        </w:rPr>
        <w:t>"15",</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infoName":</w:t>
      </w:r>
      <w:r>
        <w:rPr>
          <w:rFonts w:hint="eastAsia" w:ascii="微软雅黑" w:hAnsi="微软雅黑" w:eastAsia="微软雅黑" w:cs="微软雅黑"/>
        </w:rPr>
        <w:t>"</w:t>
      </w:r>
      <w:r>
        <w:rPr>
          <w:rFonts w:hint="eastAsia" w:ascii="微软雅黑" w:hAnsi="微软雅黑" w:eastAsia="微软雅黑" w:cs="微软雅黑"/>
          <w:szCs w:val="21"/>
        </w:rPr>
        <w:t>其它医保信息</w:t>
      </w:r>
      <w:r>
        <w:rPr>
          <w:rFonts w:hint="eastAsia" w:ascii="微软雅黑" w:hAnsi="微软雅黑" w:eastAsia="微软雅黑" w:cs="微软雅黑"/>
        </w:rPr>
        <w:t>",</w:t>
      </w:r>
    </w:p>
    <w:p>
      <w:pPr>
        <w:tabs>
          <w:tab w:val="center" w:pos="4153"/>
        </w:tabs>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szCs w:val="21"/>
        </w:rPr>
        <w:t>infoValue":</w:t>
      </w:r>
      <w:r>
        <w:rPr>
          <w:rFonts w:hint="eastAsia" w:ascii="微软雅黑" w:hAnsi="微软雅黑" w:eastAsia="微软雅黑" w:cs="微软雅黑"/>
        </w:rPr>
        <w:t>"</w:t>
      </w:r>
      <w:r>
        <w:rPr>
          <w:rFonts w:hint="eastAsia" w:ascii="微软雅黑" w:hAnsi="微软雅黑" w:eastAsia="微软雅黑" w:cs="微软雅黑"/>
          <w:color w:val="000000"/>
          <w:shd w:val="clear" w:color="auto" w:fill="FFFFFF"/>
        </w:rPr>
        <w:t>符合政策范围金额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起付金额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先行自付金额</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丙类自付</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超限价自费费用</w:t>
      </w:r>
      <w:r>
        <w:rPr>
          <w:rFonts w:hint="eastAsia" w:ascii="微软雅黑" w:hAnsi="微软雅黑" w:eastAsia="微软雅黑" w:cs="微软雅黑"/>
        </w:rPr>
        <w:t>:0.00;</w:t>
      </w:r>
      <w:r>
        <w:rPr>
          <w:rFonts w:hint="eastAsia" w:ascii="微软雅黑" w:hAnsi="微软雅黑" w:eastAsia="微软雅黑" w:cs="微软雅黑"/>
          <w:color w:val="000000"/>
          <w:shd w:val="clear" w:color="auto" w:fill="FFFFFF"/>
        </w:rPr>
        <w:t>基本医疗保险统筹基金支付比例</w:t>
      </w:r>
      <w:r>
        <w:rPr>
          <w:rFonts w:hint="eastAsia" w:ascii="微软雅黑" w:hAnsi="微软雅黑" w:eastAsia="微软雅黑" w:cs="微软雅黑"/>
        </w:rPr>
        <w:t>:0.00",</w:t>
      </w:r>
    </w:p>
    <w:p>
      <w:pPr>
        <w:tabs>
          <w:tab w:val="center" w:pos="4153"/>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t>
      </w:r>
    </w:p>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A-4 其它医保信息列表otherMedicalList-&gt;JSONObject类型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3"/>
        <w:gridCol w:w="903"/>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序号</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默认从1开始，每项数据序号值递增1，本次不允许重复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医保信息名称</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如费用报销类型编码，可参考</w:t>
            </w:r>
            <w:r>
              <w:fldChar w:fldCharType="begin"/>
            </w:r>
            <w:r>
              <w:instrText xml:space="preserve"> HYPERLINK \l "_附录7：医保报销类型列表" </w:instrText>
            </w:r>
            <w:r>
              <w:fldChar w:fldCharType="separate"/>
            </w:r>
            <w:r>
              <w:rPr>
                <w:rStyle w:val="42"/>
                <w:rFonts w:hint="eastAsia" w:ascii="微软雅黑" w:hAnsi="微软雅黑" w:eastAsia="微软雅黑" w:cs="微软雅黑"/>
                <w:szCs w:val="21"/>
              </w:rPr>
              <w:t>附录7医保报销类型列表</w:t>
            </w:r>
            <w:r>
              <w:rPr>
                <w:rStyle w:val="42"/>
                <w:rFonts w:hint="eastAsia" w:ascii="微软雅黑" w:hAnsi="微软雅黑" w:eastAsia="微软雅黑" w:cs="微软雅黑"/>
                <w:szCs w:val="21"/>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医保信息值</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如费用报销金额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infoOther</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医保其它信息</w:t>
            </w:r>
          </w:p>
        </w:tc>
        <w:tc>
          <w:tcPr>
            <w:tcW w:w="122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如医保报销比例。</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A-5 交费渠道列表 payChannelDetail-&gt;JSONObject类型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24"/>
        <w:gridCol w:w="902"/>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bookmarkStart w:id="133" w:name="OLE_LINK122"/>
            <w:r>
              <w:rPr>
                <w:rFonts w:hint="eastAsia" w:ascii="微软雅黑" w:hAnsi="微软雅黑" w:eastAsia="微软雅黑" w:cs="微软雅黑"/>
                <w:szCs w:val="21"/>
              </w:rPr>
              <w:t>payChannelCode</w:t>
            </w:r>
            <w:bookmarkEnd w:id="133"/>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交费渠道编码</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payChannelValue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交费渠道金额</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Number</w:t>
            </w:r>
          </w:p>
        </w:tc>
        <w:tc>
          <w:tcPr>
            <w:tcW w:w="902" w:type="dxa"/>
            <w:vAlign w:val="center"/>
          </w:tcPr>
          <w:p>
            <w:pPr>
              <w:tabs>
                <w:tab w:val="left" w:pos="464"/>
              </w:tabs>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14,2</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A-6 预交金凭证消费扣款列表 payMentVoucher-&gt;JSONObject类型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202"/>
        <w:gridCol w:w="924"/>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voucherBatchCode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bookmarkStart w:id="134" w:name="OLE_LINK121"/>
            <w:r>
              <w:rPr>
                <w:rFonts w:hint="eastAsia" w:ascii="微软雅黑" w:hAnsi="微软雅黑" w:eastAsia="微软雅黑" w:cs="微软雅黑"/>
                <w:szCs w:val="21"/>
              </w:rPr>
              <w:t>预交金凭证代码</w:t>
            </w:r>
            <w:bookmarkEnd w:id="134"/>
          </w:p>
        </w:tc>
        <w:tc>
          <w:tcPr>
            <w:tcW w:w="12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voucherNo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预交金凭证号码</w:t>
            </w:r>
          </w:p>
        </w:tc>
        <w:tc>
          <w:tcPr>
            <w:tcW w:w="12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tabs>
          <w:tab w:val="center" w:pos="4153"/>
        </w:tabs>
        <w:spacing w:before="156" w:beforeLines="50" w:after="156" w:afterLines="50" w:line="0" w:lineRule="atLeast"/>
        <w:rPr>
          <w:rFonts w:ascii="微软雅黑" w:hAnsi="微软雅黑" w:eastAsia="微软雅黑" w:cs="微软雅黑"/>
          <w:b/>
          <w:bCs/>
          <w:szCs w:val="21"/>
        </w:rPr>
      </w:pPr>
      <w:bookmarkStart w:id="135" w:name="_Toc15413"/>
      <w:r>
        <w:rPr>
          <w:rFonts w:hint="eastAsia" w:ascii="微软雅黑" w:hAnsi="微软雅黑" w:eastAsia="微软雅黑" w:cs="微软雅黑"/>
          <w:b/>
          <w:bCs/>
          <w:szCs w:val="21"/>
        </w:rPr>
        <w:t>A-7 支付信息列表 payOrderInfo-&gt;JSONObject类型</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0"/>
        <w:gridCol w:w="1902"/>
        <w:gridCol w:w="1224"/>
        <w:gridCol w:w="902"/>
        <w:gridCol w:w="99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75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2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0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payOrderCode</w:t>
            </w:r>
          </w:p>
        </w:tc>
        <w:tc>
          <w:tcPr>
            <w:tcW w:w="1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支付类型编码</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参考</w:t>
            </w:r>
            <w:r>
              <w:fldChar w:fldCharType="begin"/>
            </w:r>
            <w:r>
              <w:instrText xml:space="preserve"> HYPERLINK \l "_附录7：医保报销类型列表" </w:instrText>
            </w:r>
            <w:r>
              <w:fldChar w:fldCharType="separate"/>
            </w:r>
            <w:r>
              <w:rPr>
                <w:rStyle w:val="40"/>
                <w:rFonts w:hint="eastAsia" w:ascii="微软雅黑" w:hAnsi="微软雅黑" w:eastAsia="微软雅黑" w:cs="微软雅黑"/>
                <w:szCs w:val="21"/>
              </w:rPr>
              <w:t>附录8</w:t>
            </w:r>
            <w:r>
              <w:rPr>
                <w:rStyle w:val="40"/>
                <w:rFonts w:hint="eastAsia" w:ascii="微软雅黑" w:hAnsi="微软雅黑" w:eastAsia="微软雅黑" w:cs="微软雅黑"/>
                <w:szCs w:val="21"/>
                <w:lang w:eastAsia="zh-Hans"/>
              </w:rPr>
              <w:t>支付类型编码列表</w:t>
            </w:r>
            <w:r>
              <w:rPr>
                <w:rStyle w:val="40"/>
                <w:rFonts w:hint="eastAsia" w:ascii="微软雅黑" w:hAnsi="微软雅黑" w:eastAsia="微软雅黑" w:cs="微软雅黑"/>
                <w:szCs w:val="21"/>
                <w:lang w:eastAsia="zh-Hans"/>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payOrderValue</w:t>
            </w:r>
          </w:p>
        </w:tc>
        <w:tc>
          <w:tcPr>
            <w:tcW w:w="1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支付类型值</w:t>
            </w:r>
          </w:p>
        </w:tc>
        <w:tc>
          <w:tcPr>
            <w:tcW w:w="122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100</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8" w:type="dxa"/>
            <w:vAlign w:val="center"/>
          </w:tcPr>
          <w:p>
            <w:pPr>
              <w:spacing w:before="156" w:beforeLines="50" w:after="156" w:afterLines="50" w:line="0" w:lineRule="atLeast"/>
              <w:rPr>
                <w:rFonts w:ascii="微软雅黑" w:hAnsi="微软雅黑" w:eastAsia="微软雅黑" w:cs="微软雅黑"/>
                <w:szCs w:val="21"/>
              </w:rPr>
            </w:pPr>
          </w:p>
        </w:tc>
      </w:tr>
    </w:tbl>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 xml:space="preserve">A-8 </w:t>
      </w:r>
      <w:r>
        <w:rPr>
          <w:rFonts w:hint="eastAsia" w:ascii="微软雅黑" w:hAnsi="微软雅黑" w:eastAsia="微软雅黑" w:cs="微软雅黑"/>
          <w:szCs w:val="21"/>
          <w:highlight w:val="yellow"/>
          <w:lang w:eastAsia="zh-Hans"/>
        </w:rPr>
        <w:t>诊断列表diagList</w:t>
      </w:r>
      <w:r>
        <w:rPr>
          <w:rFonts w:hint="eastAsia" w:ascii="微软雅黑" w:hAnsi="微软雅黑" w:eastAsia="微软雅黑" w:cs="微软雅黑"/>
          <w:szCs w:val="21"/>
          <w:highlight w:val="yellow"/>
        </w:rPr>
        <w:t>-&gt;JSONObject类型</w:t>
      </w:r>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参数</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描述</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类型</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长度</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必填</w:t>
            </w:r>
          </w:p>
        </w:tc>
        <w:tc>
          <w:tcPr>
            <w:tcW w:w="217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inoutDiagType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出入院诊断类别</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6</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diagType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诊断类别</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main</w:t>
            </w:r>
            <w:r>
              <w:rPr>
                <w:rFonts w:hint="eastAsia" w:ascii="微软雅黑" w:hAnsi="微软雅黑" w:eastAsia="微软雅黑" w:cs="微软雅黑"/>
                <w:szCs w:val="21"/>
                <w:highlight w:val="yellow"/>
                <w:lang w:eastAsia="zh-Hans"/>
              </w:rPr>
              <w:t>diagFlag</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主诊断标志</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lang w:eastAsia="zh-Hans"/>
              </w:rPr>
              <w:t>diagCode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诊断代码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lang w:eastAsia="zh-Hans"/>
              </w:rPr>
              <w:t>30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w:t>
            </w:r>
            <w:r>
              <w:rPr>
                <w:rFonts w:hint="eastAsia" w:ascii="微软雅黑" w:hAnsi="微软雅黑" w:eastAsia="微软雅黑" w:cs="微软雅黑"/>
                <w:szCs w:val="21"/>
                <w:highlight w:val="yellow"/>
                <w:lang w:eastAsia="zh-Hans"/>
              </w:rPr>
              <w:t>Name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诊断名称</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255</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diagTime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诊断时间</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1</w:t>
            </w:r>
            <w:r>
              <w:rPr>
                <w:rFonts w:ascii="微软雅黑" w:hAnsi="微软雅黑" w:eastAsia="微软雅黑" w:cs="微软雅黑"/>
                <w:szCs w:val="21"/>
                <w:highlight w:val="yellow"/>
              </w:rPr>
              <w:t>9</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医保结算必填</w:t>
            </w:r>
            <w:r>
              <w:rPr>
                <w:rFonts w:cs="宋体"/>
                <w:color w:val="000000"/>
                <w:szCs w:val="18"/>
                <w:highlight w:val="yellow"/>
              </w:rPr>
              <w:t>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diagDrCode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诊断医师代码</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30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diagDrName</w:t>
            </w:r>
          </w:p>
        </w:tc>
        <w:tc>
          <w:tcPr>
            <w:tcW w:w="1984"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诊断医师姓名</w:t>
            </w:r>
          </w:p>
        </w:tc>
        <w:tc>
          <w:tcPr>
            <w:tcW w:w="1172"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String</w:t>
            </w:r>
          </w:p>
        </w:tc>
        <w:tc>
          <w:tcPr>
            <w:tcW w:w="990"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50</w:t>
            </w:r>
          </w:p>
        </w:tc>
        <w:tc>
          <w:tcPr>
            <w:tcW w:w="1005" w:type="dxa"/>
            <w:vAlign w:val="center"/>
          </w:tcPr>
          <w:p>
            <w:pPr>
              <w:spacing w:before="156" w:beforeLines="50" w:after="156" w:afterLines="50" w:line="0" w:lineRule="atLeast"/>
              <w:rPr>
                <w:rFonts w:ascii="微软雅黑" w:hAnsi="微软雅黑" w:eastAsia="微软雅黑" w:cs="微软雅黑"/>
                <w:szCs w:val="21"/>
                <w:highlight w:val="yellow"/>
              </w:rPr>
            </w:pPr>
            <w:r>
              <w:rPr>
                <w:rFonts w:hint="eastAsia" w:ascii="微软雅黑" w:hAnsi="微软雅黑" w:eastAsia="微软雅黑" w:cs="微软雅黑"/>
                <w:szCs w:val="21"/>
                <w:highlight w:val="yellow"/>
              </w:rPr>
              <w:t>否</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highlight w:val="yellow"/>
              </w:rPr>
            </w:pPr>
          </w:p>
        </w:tc>
      </w:tr>
    </w:tbl>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返回结果参数</w:t>
      </w:r>
      <w:bookmarkEnd w:id="135"/>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r>
              <w:rPr>
                <w:rFonts w:hint="eastAsia" w:ascii="微软雅黑" w:hAnsi="微软雅黑" w:eastAsia="微软雅黑" w:cs="微软雅黑"/>
                <w:b/>
                <w:bCs/>
                <w:szCs w:val="21"/>
              </w:rPr>
              <w:t xml:space="preserve"> </w:t>
            </w:r>
          </w:p>
        </w:tc>
      </w:tr>
    </w:tbl>
    <w:p>
      <w:pPr>
        <w:tabs>
          <w:tab w:val="center" w:pos="4153"/>
        </w:tabs>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B-1 返回结果内容message，响应业务参数-&gt;JSONObject类型</w:t>
      </w:r>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createTime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电子票据生成时间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创建时间：时间格式精确到毫秒</w:t>
            </w:r>
            <w:r>
              <w:rPr>
                <w:rFonts w:hint="eastAsia" w:ascii="微软雅黑" w:hAnsi="微软雅黑" w:eastAsia="微软雅黑" w:cs="微软雅黑"/>
                <w:bCs/>
                <w:color w:val="000000"/>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billQRCode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电子票据二维码图片数据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该值已Base64编码，解析时需要Base64解码,图片格式为:PNG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pictureNetUrl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电子票据外网H5页面URL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按需配置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wxCardUrl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微信插卡URL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75" w:type="dxa"/>
            <w:vAlign w:val="center"/>
          </w:tcPr>
          <w:p>
            <w:pPr>
              <w:spacing w:before="156" w:beforeLines="50" w:after="156" w:afterLines="50" w:line="0" w:lineRule="atLeast"/>
              <w:rPr>
                <w:rFonts w:ascii="微软雅黑" w:hAnsi="微软雅黑" w:eastAsia="微软雅黑" w:cs="微软雅黑"/>
                <w:szCs w:val="21"/>
              </w:rPr>
            </w:pPr>
          </w:p>
        </w:tc>
      </w:tr>
    </w:tbl>
    <w:p>
      <w:pPr>
        <w:spacing w:before="156" w:beforeLines="50" w:after="156" w:afterLines="50" w:line="0" w:lineRule="atLeast"/>
        <w:rPr>
          <w:rFonts w:hint="eastAsia" w:ascii="微软雅黑" w:hAnsi="微软雅黑" w:eastAsia="微软雅黑" w:cs="微软雅黑"/>
        </w:rPr>
      </w:pPr>
    </w:p>
    <w:p>
      <w:pPr>
        <w:pStyle w:val="5"/>
        <w:spacing w:before="156" w:beforeLines="50" w:after="156" w:afterLines="50" w:line="0" w:lineRule="atLeast"/>
        <w:ind w:left="0" w:firstLine="0"/>
        <w:rPr>
          <w:rFonts w:ascii="微软雅黑" w:hAnsi="微软雅黑" w:eastAsia="微软雅黑" w:cs="微软雅黑"/>
        </w:rPr>
      </w:pPr>
      <w:bookmarkStart w:id="136" w:name="_电子票据开具接口"/>
      <w:bookmarkEnd w:id="136"/>
      <w:bookmarkStart w:id="137" w:name="_批量医疗电子票据开具接口"/>
      <w:bookmarkStart w:id="138" w:name="_Toc26175"/>
      <w:bookmarkStart w:id="139" w:name="_Toc599"/>
      <w:bookmarkStart w:id="140" w:name="OLE_LINK8"/>
      <w:bookmarkStart w:id="141" w:name="OLE_LINK9"/>
      <w:r>
        <w:rPr>
          <w:rFonts w:hint="eastAsia" w:ascii="微软雅黑" w:hAnsi="微软雅黑" w:eastAsia="微软雅黑" w:cs="微软雅黑"/>
        </w:rPr>
        <w:t>批量电子票据开具接口</w:t>
      </w:r>
      <w:bookmarkEnd w:id="137"/>
      <w:bookmarkEnd w:id="138"/>
      <w:bookmarkEnd w:id="13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业务系统提供批量开具信息数据，向医疗电子票据管理平台发起批量电子票据开具请求，生成电子票据。</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主要可以分为门诊、住院、挂号、门特、体检等业务电子票据开具接口。</w:t>
      </w:r>
    </w:p>
    <w:p>
      <w:pPr>
        <w:pStyle w:val="6"/>
        <w:spacing w:before="156" w:beforeLines="50" w:after="156" w:afterLines="50" w:line="0" w:lineRule="atLeast"/>
        <w:ind w:left="0" w:firstLine="0"/>
        <w:rPr>
          <w:rFonts w:ascii="微软雅黑" w:hAnsi="微软雅黑" w:eastAsia="微软雅黑" w:cs="微软雅黑"/>
        </w:rPr>
      </w:pPr>
      <w:bookmarkStart w:id="142" w:name="_Toc4077"/>
      <w:bookmarkStart w:id="143" w:name="_批量医疗门诊电子票据开具接口"/>
      <w:r>
        <w:rPr>
          <w:rFonts w:hint="eastAsia" w:ascii="微软雅黑" w:hAnsi="微软雅黑" w:eastAsia="微软雅黑" w:cs="微软雅黑"/>
        </w:rPr>
        <w:t>批量医疗门诊电子票据开具接口</w:t>
      </w:r>
      <w:bookmarkEnd w:id="142"/>
      <w:bookmarkEnd w:id="143"/>
    </w:p>
    <w:p>
      <w:pPr>
        <w:pStyle w:val="7"/>
        <w:spacing w:before="156" w:beforeLines="50" w:after="156" w:afterLines="50" w:line="0" w:lineRule="atLeast"/>
        <w:ind w:firstLine="0" w:firstLineChars="0"/>
        <w:rPr>
          <w:rFonts w:ascii="微软雅黑" w:hAnsi="微软雅黑" w:eastAsia="微软雅黑" w:cs="微软雅黑"/>
        </w:rPr>
      </w:pPr>
      <w:bookmarkStart w:id="144" w:name="_Toc14502"/>
      <w:r>
        <w:rPr>
          <w:rFonts w:hint="eastAsia" w:ascii="微软雅黑" w:hAnsi="微软雅黑" w:eastAsia="微软雅黑" w:cs="微软雅黑"/>
        </w:rPr>
        <w:t>服务标识 batchInvoiceEBillO</w:t>
      </w:r>
      <w:r>
        <w:rPr>
          <w:rFonts w:hint="eastAsia" w:ascii="微软雅黑" w:hAnsi="微软雅黑" w:eastAsia="微软雅黑" w:cs="微软雅黑"/>
          <w:color w:val="333333"/>
          <w:sz w:val="21"/>
          <w:szCs w:val="21"/>
          <w:shd w:val="clear" w:color="auto" w:fill="F9F9F9"/>
        </w:rPr>
        <w:t>utpatient</w:t>
      </w:r>
      <w:bookmarkEnd w:id="144"/>
    </w:p>
    <w:p>
      <w:pPr>
        <w:pStyle w:val="7"/>
        <w:spacing w:before="156" w:beforeLines="50" w:after="156" w:afterLines="50" w:line="0" w:lineRule="atLeast"/>
        <w:ind w:firstLine="0" w:firstLineChars="0"/>
        <w:rPr>
          <w:rFonts w:ascii="微软雅黑" w:hAnsi="微软雅黑" w:eastAsia="微软雅黑" w:cs="微软雅黑"/>
        </w:rPr>
      </w:pPr>
      <w:bookmarkStart w:id="145" w:name="_Toc31550"/>
      <w:r>
        <w:rPr>
          <w:rFonts w:hint="eastAsia" w:ascii="微软雅黑" w:hAnsi="微软雅黑" w:eastAsia="微软雅黑" w:cs="微软雅黑"/>
        </w:rPr>
        <w:t>服务版本号</w:t>
      </w:r>
      <w:bookmarkEnd w:id="145"/>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7"/>
        <w:spacing w:before="156" w:beforeLines="50" w:after="156" w:afterLines="50" w:line="0" w:lineRule="atLeast"/>
        <w:ind w:firstLine="0" w:firstLineChars="0"/>
        <w:rPr>
          <w:rFonts w:ascii="微软雅黑" w:hAnsi="微软雅黑" w:eastAsia="微软雅黑" w:cs="微软雅黑"/>
        </w:rPr>
      </w:pPr>
      <w:bookmarkStart w:id="146" w:name="_Toc10660"/>
      <w:r>
        <w:rPr>
          <w:rFonts w:hint="eastAsia" w:ascii="微软雅黑" w:hAnsi="微软雅黑" w:eastAsia="微软雅黑" w:cs="微软雅黑"/>
        </w:rPr>
        <w:t>请求业务参数</w:t>
      </w:r>
      <w:bookmarkEnd w:id="146"/>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73"/>
        <w:gridCol w:w="1345"/>
        <w:gridCol w:w="983"/>
        <w:gridCol w:w="1002"/>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77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345"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30"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batchNo</w:t>
            </w:r>
          </w:p>
        </w:tc>
        <w:tc>
          <w:tcPr>
            <w:tcW w:w="177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批次号</w:t>
            </w:r>
          </w:p>
        </w:tc>
        <w:tc>
          <w:tcPr>
            <w:tcW w:w="134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eBillList</w:t>
            </w:r>
          </w:p>
        </w:tc>
        <w:tc>
          <w:tcPr>
            <w:tcW w:w="177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开票数据列表</w:t>
            </w:r>
          </w:p>
        </w:tc>
        <w:tc>
          <w:tcPr>
            <w:tcW w:w="13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98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10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b/>
                <w:szCs w:val="21"/>
              </w:rPr>
            </w:pPr>
            <w:r>
              <w:rPr>
                <w:rFonts w:hint="eastAsia" w:ascii="微软雅黑" w:hAnsi="微软雅黑" w:eastAsia="微软雅黑" w:cs="微软雅黑"/>
                <w:b/>
                <w:szCs w:val="21"/>
              </w:rPr>
              <w:t>详见A-0 （每批次最多200笔），</w:t>
            </w:r>
            <w:r>
              <w:rPr>
                <w:rFonts w:hint="eastAsia" w:ascii="微软雅黑" w:hAnsi="微软雅黑" w:eastAsia="微软雅黑" w:cs="微软雅黑"/>
                <w:b/>
                <w:bCs/>
                <w:szCs w:val="21"/>
              </w:rPr>
              <w:t>JSON格式列表</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A-0 开票数据列表eBillList-&gt;JSONObject类型</w:t>
      </w:r>
    </w:p>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eBillList列表参数与医疗门诊电子票据开具接口中请求业务参数一致。</w:t>
      </w:r>
    </w:p>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具体内容参考：</w:t>
      </w:r>
      <w:r>
        <w:fldChar w:fldCharType="begin"/>
      </w:r>
      <w:r>
        <w:instrText xml:space="preserve"> HYPERLINK \l "_请求业务参数" </w:instrText>
      </w:r>
      <w:r>
        <w:fldChar w:fldCharType="separate"/>
      </w:r>
      <w:r>
        <w:rPr>
          <w:rStyle w:val="40"/>
          <w:rFonts w:hint="eastAsia" w:ascii="微软雅黑" w:hAnsi="微软雅黑" w:eastAsia="微软雅黑" w:cs="微软雅黑"/>
          <w:b/>
          <w:bCs/>
          <w:szCs w:val="21"/>
        </w:rPr>
        <w:t>医疗门诊电子票据开具接口请求业务参数</w:t>
      </w:r>
      <w:r>
        <w:rPr>
          <w:rStyle w:val="40"/>
          <w:rFonts w:hint="eastAsia" w:ascii="微软雅黑" w:hAnsi="微软雅黑" w:eastAsia="微软雅黑" w:cs="微软雅黑"/>
          <w:b/>
          <w:bCs/>
          <w:szCs w:val="21"/>
        </w:rPr>
        <w:fldChar w:fldCharType="end"/>
      </w:r>
    </w:p>
    <w:p>
      <w:pPr>
        <w:pStyle w:val="7"/>
        <w:spacing w:before="156" w:beforeLines="50" w:after="156" w:afterLines="50" w:line="0" w:lineRule="atLeast"/>
        <w:ind w:firstLine="0" w:firstLineChars="0"/>
        <w:rPr>
          <w:rFonts w:ascii="微软雅黑" w:hAnsi="微软雅黑" w:eastAsia="微软雅黑" w:cs="微软雅黑"/>
        </w:rPr>
      </w:pPr>
      <w:bookmarkStart w:id="147" w:name="_Toc30355"/>
      <w:r>
        <w:rPr>
          <w:rFonts w:hint="eastAsia" w:ascii="微软雅黑" w:hAnsi="微软雅黑" w:eastAsia="微软雅黑" w:cs="微软雅黑"/>
        </w:rPr>
        <w:t>返回结果参数</w:t>
      </w:r>
      <w:bookmarkEnd w:id="147"/>
    </w:p>
    <w:tbl>
      <w:tblPr>
        <w:tblStyle w:val="35"/>
        <w:tblW w:w="90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8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6"/>
        <w:spacing w:before="156" w:beforeLines="50" w:after="156" w:afterLines="50" w:line="0" w:lineRule="atLeast"/>
        <w:ind w:left="0" w:firstLine="0"/>
        <w:rPr>
          <w:rFonts w:ascii="微软雅黑" w:hAnsi="微软雅黑" w:eastAsia="微软雅黑" w:cs="微软雅黑"/>
        </w:rPr>
      </w:pPr>
      <w:bookmarkStart w:id="148" w:name="_Toc11964"/>
      <w:bookmarkStart w:id="149" w:name="_批量医疗住院电子票据开具接口"/>
      <w:r>
        <w:rPr>
          <w:rFonts w:hint="eastAsia" w:ascii="微软雅黑" w:hAnsi="微软雅黑" w:eastAsia="微软雅黑" w:cs="微软雅黑"/>
        </w:rPr>
        <w:t>批量医疗住院电子票据开具接口</w:t>
      </w:r>
      <w:bookmarkEnd w:id="148"/>
      <w:bookmarkEnd w:id="149"/>
    </w:p>
    <w:p>
      <w:pPr>
        <w:pStyle w:val="7"/>
        <w:spacing w:before="156" w:beforeLines="50" w:after="156" w:afterLines="50" w:line="0" w:lineRule="atLeast"/>
        <w:ind w:firstLine="0" w:firstLineChars="0"/>
        <w:rPr>
          <w:rFonts w:ascii="微软雅黑" w:hAnsi="微软雅黑" w:eastAsia="微软雅黑" w:cs="微软雅黑"/>
        </w:rPr>
      </w:pPr>
      <w:bookmarkStart w:id="150" w:name="_Toc2825"/>
      <w:r>
        <w:rPr>
          <w:rFonts w:hint="eastAsia" w:ascii="微软雅黑" w:hAnsi="微软雅黑" w:eastAsia="微软雅黑" w:cs="微软雅黑"/>
        </w:rPr>
        <w:t>服务标识 batchInvoiceEBillHospitalized</w:t>
      </w:r>
      <w:bookmarkEnd w:id="150"/>
    </w:p>
    <w:p>
      <w:pPr>
        <w:pStyle w:val="7"/>
        <w:spacing w:before="156" w:beforeLines="50" w:after="156" w:afterLines="50" w:line="0" w:lineRule="atLeast"/>
        <w:ind w:firstLine="0" w:firstLineChars="0"/>
        <w:rPr>
          <w:rFonts w:ascii="微软雅黑" w:hAnsi="微软雅黑" w:eastAsia="微软雅黑" w:cs="微软雅黑"/>
        </w:rPr>
      </w:pPr>
      <w:bookmarkStart w:id="151" w:name="_Toc8200"/>
      <w:r>
        <w:rPr>
          <w:rFonts w:hint="eastAsia" w:ascii="微软雅黑" w:hAnsi="微软雅黑" w:eastAsia="微软雅黑" w:cs="微软雅黑"/>
        </w:rPr>
        <w:t>服务版本号</w:t>
      </w:r>
      <w:bookmarkEnd w:id="151"/>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7"/>
        <w:spacing w:before="156" w:beforeLines="50" w:after="156" w:afterLines="50" w:line="0" w:lineRule="atLeast"/>
        <w:ind w:firstLine="0" w:firstLineChars="0"/>
        <w:rPr>
          <w:rFonts w:ascii="微软雅黑" w:hAnsi="微软雅黑" w:eastAsia="微软雅黑" w:cs="微软雅黑"/>
        </w:rPr>
      </w:pPr>
      <w:bookmarkStart w:id="152" w:name="_Toc28232"/>
      <w:r>
        <w:rPr>
          <w:rFonts w:hint="eastAsia" w:ascii="微软雅黑" w:hAnsi="微软雅黑" w:eastAsia="微软雅黑" w:cs="微软雅黑"/>
        </w:rPr>
        <w:t>请求业务参数</w:t>
      </w:r>
      <w:bookmarkEnd w:id="152"/>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815"/>
        <w:gridCol w:w="1303"/>
        <w:gridCol w:w="983"/>
        <w:gridCol w:w="1002"/>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815"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30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30"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batchNo</w:t>
            </w:r>
          </w:p>
        </w:tc>
        <w:tc>
          <w:tcPr>
            <w:tcW w:w="181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批次号</w:t>
            </w:r>
          </w:p>
        </w:tc>
        <w:tc>
          <w:tcPr>
            <w:tcW w:w="130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eBillList</w:t>
            </w:r>
          </w:p>
        </w:tc>
        <w:tc>
          <w:tcPr>
            <w:tcW w:w="18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开票数据列表</w:t>
            </w:r>
          </w:p>
        </w:tc>
        <w:tc>
          <w:tcPr>
            <w:tcW w:w="1303"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98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10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b/>
                <w:szCs w:val="21"/>
              </w:rPr>
            </w:pPr>
            <w:r>
              <w:rPr>
                <w:rFonts w:hint="eastAsia" w:ascii="微软雅黑" w:hAnsi="微软雅黑" w:eastAsia="微软雅黑" w:cs="微软雅黑"/>
                <w:b/>
                <w:szCs w:val="21"/>
              </w:rPr>
              <w:t>详见A-0 （每批次最多200笔），</w:t>
            </w:r>
            <w:r>
              <w:rPr>
                <w:rFonts w:hint="eastAsia" w:ascii="微软雅黑" w:hAnsi="微软雅黑" w:eastAsia="微软雅黑" w:cs="微软雅黑"/>
                <w:b/>
                <w:bCs/>
                <w:szCs w:val="21"/>
              </w:rPr>
              <w:t>JSON格式列表</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A-0 开票数据列表eBillList-&gt;JSONObject类型</w:t>
      </w:r>
    </w:p>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eBillList列表参数与医疗住院电子票据开具接口中请求业务参数一致。</w:t>
      </w:r>
    </w:p>
    <w:p>
      <w:pPr>
        <w:spacing w:before="156" w:beforeLines="50" w:after="156" w:afterLines="50" w:line="0" w:lineRule="atLeast"/>
        <w:rPr>
          <w:rStyle w:val="42"/>
          <w:rFonts w:ascii="微软雅黑" w:hAnsi="微软雅黑" w:eastAsia="微软雅黑" w:cs="微软雅黑"/>
          <w:b/>
          <w:bCs/>
          <w:szCs w:val="21"/>
        </w:rPr>
      </w:pPr>
      <w:r>
        <w:rPr>
          <w:rFonts w:hint="eastAsia" w:ascii="微软雅黑" w:hAnsi="微软雅黑" w:eastAsia="微软雅黑" w:cs="微软雅黑"/>
          <w:b/>
          <w:bCs/>
          <w:szCs w:val="21"/>
        </w:rPr>
        <w:t>具体内容参考：</w:t>
      </w:r>
      <w:r>
        <w:rPr>
          <w:rFonts w:hint="eastAsia" w:ascii="微软雅黑" w:hAnsi="微软雅黑" w:eastAsia="微软雅黑" w:cs="微软雅黑"/>
          <w:b/>
          <w:bCs/>
          <w:szCs w:val="21"/>
        </w:rPr>
        <w:fldChar w:fldCharType="begin"/>
      </w:r>
      <w:r>
        <w:rPr>
          <w:rFonts w:hint="eastAsia" w:ascii="微软雅黑" w:hAnsi="微软雅黑" w:eastAsia="微软雅黑" w:cs="微软雅黑"/>
          <w:b/>
          <w:bCs/>
          <w:szCs w:val="21"/>
        </w:rPr>
        <w:instrText xml:space="preserve"> HYPERLINK \l "_请求业务参数_1" </w:instrText>
      </w:r>
      <w:r>
        <w:rPr>
          <w:rFonts w:hint="eastAsia" w:ascii="微软雅黑" w:hAnsi="微软雅黑" w:eastAsia="微软雅黑" w:cs="微软雅黑"/>
          <w:b/>
          <w:bCs/>
          <w:szCs w:val="21"/>
        </w:rPr>
        <w:fldChar w:fldCharType="separate"/>
      </w:r>
      <w:r>
        <w:rPr>
          <w:rStyle w:val="42"/>
          <w:rFonts w:hint="eastAsia" w:ascii="微软雅黑" w:hAnsi="微软雅黑" w:eastAsia="微软雅黑" w:cs="微软雅黑"/>
          <w:b/>
          <w:bCs/>
          <w:szCs w:val="21"/>
        </w:rPr>
        <w:t>医疗住院电子票据开具接口请求业务参数</w:t>
      </w:r>
    </w:p>
    <w:p>
      <w:pPr>
        <w:pStyle w:val="7"/>
        <w:spacing w:before="156" w:beforeLines="50" w:after="156" w:afterLines="50" w:line="0" w:lineRule="atLeast"/>
        <w:ind w:firstLine="0" w:firstLineChars="0"/>
        <w:rPr>
          <w:rFonts w:ascii="微软雅黑" w:hAnsi="微软雅黑" w:eastAsia="微软雅黑" w:cs="微软雅黑"/>
        </w:rPr>
      </w:pPr>
      <w:bookmarkStart w:id="153" w:name="_Toc31485"/>
      <w:r>
        <w:rPr>
          <w:rFonts w:hint="eastAsia" w:ascii="微软雅黑" w:hAnsi="微软雅黑" w:eastAsia="微软雅黑" w:cs="微软雅黑"/>
          <w:bCs/>
          <w:szCs w:val="21"/>
        </w:rPr>
        <w:fldChar w:fldCharType="end"/>
      </w:r>
      <w:r>
        <w:rPr>
          <w:rFonts w:hint="eastAsia" w:ascii="微软雅黑" w:hAnsi="微软雅黑" w:eastAsia="微软雅黑" w:cs="微软雅黑"/>
        </w:rPr>
        <w:t>返回结果参数</w:t>
      </w:r>
      <w:bookmarkEnd w:id="153"/>
    </w:p>
    <w:tbl>
      <w:tblPr>
        <w:tblStyle w:val="35"/>
        <w:tblW w:w="90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8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5"/>
        <w:spacing w:before="156" w:beforeLines="50" w:after="156" w:afterLines="50" w:line="0" w:lineRule="atLeast"/>
        <w:ind w:left="0" w:firstLine="0"/>
        <w:rPr>
          <w:rFonts w:ascii="微软雅黑" w:hAnsi="微软雅黑" w:eastAsia="微软雅黑" w:cs="微软雅黑"/>
        </w:rPr>
      </w:pPr>
      <w:bookmarkStart w:id="154" w:name="_Toc23030"/>
      <w:bookmarkStart w:id="155" w:name="_Toc28663"/>
      <w:bookmarkStart w:id="156" w:name="_批量医疗电子票据开具结果查询接口"/>
      <w:bookmarkStart w:id="157" w:name="_批量医疗电子票据开具结果查询接口_1"/>
      <w:r>
        <w:rPr>
          <w:rFonts w:hint="eastAsia" w:ascii="微软雅黑" w:hAnsi="微软雅黑" w:eastAsia="微软雅黑" w:cs="微软雅黑"/>
        </w:rPr>
        <w:t>批量医疗电子票据开具结果查询接口</w:t>
      </w:r>
      <w:bookmarkEnd w:id="154"/>
      <w:bookmarkEnd w:id="155"/>
      <w:bookmarkEnd w:id="156"/>
      <w:bookmarkEnd w:id="15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提供批量开具的电子票据信息列表查询。</w:t>
      </w:r>
    </w:p>
    <w:p>
      <w:pPr>
        <w:pStyle w:val="6"/>
        <w:spacing w:before="156" w:beforeLines="50" w:after="156" w:afterLines="50" w:line="0" w:lineRule="atLeast"/>
        <w:ind w:left="0" w:firstLine="0"/>
        <w:rPr>
          <w:rFonts w:ascii="微软雅黑" w:hAnsi="微软雅黑" w:eastAsia="微软雅黑" w:cs="微软雅黑"/>
        </w:rPr>
      </w:pPr>
      <w:bookmarkStart w:id="158" w:name="_Toc8878"/>
      <w:r>
        <w:rPr>
          <w:rFonts w:hint="eastAsia" w:ascii="微软雅黑" w:hAnsi="微软雅黑" w:eastAsia="微软雅黑" w:cs="微软雅黑"/>
        </w:rPr>
        <w:t>服务标识 getBatchInvoiceEBill</w:t>
      </w:r>
      <w:bookmarkEnd w:id="158"/>
    </w:p>
    <w:p>
      <w:pPr>
        <w:pStyle w:val="6"/>
        <w:spacing w:before="156" w:beforeLines="50" w:after="156" w:afterLines="50" w:line="0" w:lineRule="atLeast"/>
        <w:ind w:left="0" w:firstLine="0"/>
        <w:rPr>
          <w:rFonts w:ascii="微软雅黑" w:hAnsi="微软雅黑" w:eastAsia="微软雅黑" w:cs="微软雅黑"/>
        </w:rPr>
      </w:pPr>
      <w:bookmarkStart w:id="159" w:name="_Toc3127"/>
      <w:r>
        <w:rPr>
          <w:rFonts w:hint="eastAsia" w:ascii="微软雅黑" w:hAnsi="微软雅黑" w:eastAsia="微软雅黑" w:cs="微软雅黑"/>
        </w:rPr>
        <w:t>服务版本号</w:t>
      </w:r>
      <w:bookmarkEnd w:id="15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160" w:name="_Toc4859"/>
      <w:r>
        <w:rPr>
          <w:rFonts w:hint="eastAsia" w:ascii="微软雅黑" w:hAnsi="微软雅黑" w:eastAsia="微软雅黑" w:cs="微软雅黑"/>
        </w:rPr>
        <w:t>请求业务参数</w:t>
      </w:r>
      <w:bookmarkEnd w:id="160"/>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34"/>
        <w:gridCol w:w="983"/>
        <w:gridCol w:w="1002"/>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98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30"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batchNo</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批次号</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100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szCs w:val="21"/>
              </w:rPr>
            </w:pPr>
          </w:p>
        </w:tc>
      </w:tr>
    </w:tbl>
    <w:p>
      <w:pPr>
        <w:pStyle w:val="6"/>
        <w:spacing w:before="156" w:beforeLines="50" w:after="156" w:afterLines="50" w:line="0" w:lineRule="atLeast"/>
        <w:ind w:left="0" w:firstLine="0"/>
        <w:rPr>
          <w:rFonts w:ascii="微软雅黑" w:hAnsi="微软雅黑" w:eastAsia="微软雅黑" w:cs="微软雅黑"/>
        </w:rPr>
      </w:pPr>
      <w:bookmarkStart w:id="161" w:name="_Toc18759"/>
      <w:r>
        <w:rPr>
          <w:rFonts w:hint="eastAsia" w:ascii="微软雅黑" w:hAnsi="微软雅黑" w:eastAsia="微软雅黑" w:cs="微软雅黑"/>
        </w:rPr>
        <w:t>返回结果参数</w:t>
      </w:r>
      <w:bookmarkEnd w:id="161"/>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r>
              <w:rPr>
                <w:rFonts w:hint="eastAsia" w:ascii="微软雅黑" w:hAnsi="微软雅黑" w:eastAsia="微软雅黑" w:cs="微软雅黑"/>
                <w:b/>
                <w:bCs/>
                <w:szCs w:val="21"/>
              </w:rPr>
              <w:t xml:space="preserve"> </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B-1 返回结果内容message，响应业务参数-&gt;JSONObject类型</w:t>
      </w:r>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829"/>
        <w:gridCol w:w="1327"/>
        <w:gridCol w:w="990"/>
        <w:gridCol w:w="1005"/>
        <w:gridCol w:w="2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829"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32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8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count</w:t>
            </w:r>
          </w:p>
        </w:tc>
        <w:tc>
          <w:tcPr>
            <w:tcW w:w="1829"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总数</w:t>
            </w:r>
          </w:p>
        </w:tc>
        <w:tc>
          <w:tcPr>
            <w:tcW w:w="132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0" w:type="dxa"/>
            <w:vAlign w:val="center"/>
          </w:tcPr>
          <w:p>
            <w:pPr>
              <w:spacing w:before="156" w:beforeLines="50" w:after="156" w:afterLines="50" w:line="0" w:lineRule="atLeast"/>
              <w:rPr>
                <w:rFonts w:ascii="微软雅黑" w:hAnsi="微软雅黑" w:eastAsia="微软雅黑" w:cs="微软雅黑"/>
                <w:szCs w:val="21"/>
              </w:rPr>
            </w:pP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eBillList</w:t>
            </w:r>
          </w:p>
        </w:tc>
        <w:tc>
          <w:tcPr>
            <w:tcW w:w="182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开票数据列表</w:t>
            </w:r>
          </w:p>
        </w:tc>
        <w:tc>
          <w:tcPr>
            <w:tcW w:w="1327"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b/>
                <w:szCs w:val="21"/>
              </w:rPr>
            </w:pPr>
            <w:r>
              <w:rPr>
                <w:rFonts w:hint="eastAsia" w:ascii="微软雅黑" w:hAnsi="微软雅黑" w:eastAsia="微软雅黑" w:cs="微软雅黑"/>
                <w:b/>
                <w:szCs w:val="21"/>
              </w:rPr>
              <w:t>详见 B-2，</w:t>
            </w:r>
            <w:r>
              <w:rPr>
                <w:rFonts w:hint="eastAsia" w:ascii="微软雅黑" w:hAnsi="微软雅黑" w:eastAsia="微软雅黑" w:cs="微软雅黑"/>
                <w:b/>
                <w:bCs/>
                <w:szCs w:val="21"/>
              </w:rPr>
              <w:t>JSON格式列表</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B-2 电子票据列表eBillList-&gt;JSONObject类型</w:t>
      </w:r>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8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业务流水号</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状态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0" w:type="dxa"/>
            <w:vAlign w:val="center"/>
          </w:tcPr>
          <w:p>
            <w:pPr>
              <w:spacing w:before="156" w:beforeLines="50" w:after="156" w:afterLines="50" w:line="0" w:lineRule="atLeast"/>
              <w:rPr>
                <w:rFonts w:ascii="微软雅黑" w:hAnsi="微软雅黑" w:eastAsia="微软雅黑" w:cs="微软雅黑"/>
                <w:szCs w:val="21"/>
              </w:rPr>
            </w:pP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 xml:space="preserve">0未生成、1已生成、2失败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errMsg</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错误信息</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800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8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status=2,必填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status=1，必填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status=1，必填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status=1，必填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createTime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电子票据生成时间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status=1，必填，创建时间：时间格式精确到毫秒</w:t>
            </w:r>
            <w:r>
              <w:rPr>
                <w:rFonts w:hint="eastAsia" w:ascii="微软雅黑" w:hAnsi="微软雅黑" w:eastAsia="微软雅黑" w:cs="微软雅黑"/>
                <w:bCs/>
                <w:color w:val="000000"/>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billQRCode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电子票据二维码图片数据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status=1，必填，该值已Base64编码，解析时需要Base64解码,图片格式为:PNG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pictureNetUrl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电子票据外网H5页面URL地址</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wxCardUrl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微信插卡URL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8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bookmarkEnd w:id="140"/>
      <w:bookmarkEnd w:id="141"/>
    </w:tbl>
    <w:p>
      <w:pPr>
        <w:pStyle w:val="5"/>
        <w:spacing w:before="156" w:beforeLines="50" w:after="156" w:afterLines="50" w:line="0" w:lineRule="atLeast"/>
        <w:ind w:left="0" w:firstLine="0"/>
        <w:rPr>
          <w:rFonts w:ascii="微软雅黑" w:hAnsi="微软雅黑" w:eastAsia="微软雅黑" w:cs="微软雅黑"/>
        </w:rPr>
      </w:pPr>
      <w:bookmarkStart w:id="162" w:name="_电子票据冲红接口"/>
      <w:bookmarkEnd w:id="162"/>
      <w:bookmarkStart w:id="163" w:name="_Toc491359838"/>
      <w:bookmarkStart w:id="164" w:name="_Toc7795"/>
      <w:bookmarkStart w:id="165" w:name="_Toc5287"/>
      <w:bookmarkStart w:id="166" w:name="OLE_LINK52"/>
      <w:bookmarkStart w:id="167" w:name="OLE_LINK29"/>
      <w:r>
        <w:rPr>
          <w:rFonts w:hint="eastAsia" w:ascii="微软雅黑" w:hAnsi="微软雅黑" w:eastAsia="微软雅黑" w:cs="微软雅黑"/>
        </w:rPr>
        <w:t>电子票据冲红</w:t>
      </w:r>
      <w:bookmarkEnd w:id="163"/>
      <w:r>
        <w:rPr>
          <w:rFonts w:hint="eastAsia" w:ascii="微软雅黑" w:hAnsi="微软雅黑" w:eastAsia="微软雅黑" w:cs="微软雅黑"/>
        </w:rPr>
        <w:t>接口</w:t>
      </w:r>
      <w:bookmarkEnd w:id="164"/>
      <w:bookmarkEnd w:id="165"/>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业务系统根据电子票据信息，向</w:t>
      </w:r>
      <w:bookmarkStart w:id="168" w:name="OLE_LINK30"/>
      <w:r>
        <w:rPr>
          <w:rFonts w:hint="eastAsia" w:ascii="微软雅黑" w:hAnsi="微软雅黑" w:eastAsia="微软雅黑" w:cs="微软雅黑"/>
        </w:rPr>
        <w:t>医疗电子票据管理平台</w:t>
      </w:r>
      <w:bookmarkEnd w:id="168"/>
      <w:r>
        <w:rPr>
          <w:rFonts w:hint="eastAsia" w:ascii="微软雅黑" w:hAnsi="微软雅黑" w:eastAsia="微软雅黑" w:cs="微软雅黑"/>
        </w:rPr>
        <w:t>发起已使用票据冲红请求。</w:t>
      </w:r>
    </w:p>
    <w:p>
      <w:pPr>
        <w:pStyle w:val="6"/>
        <w:spacing w:before="156" w:beforeLines="50" w:after="156" w:afterLines="50" w:line="0" w:lineRule="atLeast"/>
        <w:ind w:left="0" w:firstLine="0"/>
        <w:rPr>
          <w:rFonts w:ascii="微软雅黑" w:hAnsi="微软雅黑" w:eastAsia="微软雅黑" w:cs="微软雅黑"/>
        </w:rPr>
      </w:pPr>
      <w:bookmarkStart w:id="169" w:name="_Toc13069"/>
      <w:r>
        <w:rPr>
          <w:rFonts w:hint="eastAsia" w:ascii="微软雅黑" w:hAnsi="微软雅黑" w:eastAsia="微软雅黑" w:cs="微软雅黑"/>
        </w:rPr>
        <w:t>服务标识 writeOffEBill</w:t>
      </w:r>
      <w:bookmarkEnd w:id="169"/>
    </w:p>
    <w:p>
      <w:pPr>
        <w:pStyle w:val="6"/>
        <w:spacing w:before="156" w:beforeLines="50" w:after="156" w:afterLines="50" w:line="0" w:lineRule="atLeast"/>
        <w:ind w:left="0" w:firstLine="0"/>
        <w:rPr>
          <w:rFonts w:ascii="微软雅黑" w:hAnsi="微软雅黑" w:eastAsia="微软雅黑" w:cs="微软雅黑"/>
        </w:rPr>
      </w:pPr>
      <w:bookmarkStart w:id="170" w:name="_Toc15873"/>
      <w:r>
        <w:rPr>
          <w:rFonts w:hint="eastAsia" w:ascii="微软雅黑" w:hAnsi="微软雅黑" w:eastAsia="微软雅黑" w:cs="微软雅黑"/>
        </w:rPr>
        <w:t>服务版本号</w:t>
      </w:r>
      <w:bookmarkEnd w:id="170"/>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171" w:name="_Toc24524"/>
      <w:r>
        <w:rPr>
          <w:rFonts w:hint="eastAsia" w:ascii="微软雅黑" w:hAnsi="微软雅黑" w:eastAsia="微软雅黑" w:cs="微软雅黑"/>
        </w:rPr>
        <w:t>请求业务参数</w:t>
      </w:r>
      <w:bookmarkEnd w:id="171"/>
    </w:p>
    <w:tbl>
      <w:tblPr>
        <w:tblStyle w:val="35"/>
        <w:tblW w:w="90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1843"/>
        <w:gridCol w:w="1134"/>
        <w:gridCol w:w="953"/>
        <w:gridCol w:w="915"/>
        <w:gridCol w:w="2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84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5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1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3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5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1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5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1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reason</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冲红原因</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5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91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operator</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经办人</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5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60</w:t>
            </w:r>
          </w:p>
        </w:tc>
        <w:tc>
          <w:tcPr>
            <w:tcW w:w="91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busDateTime</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业务发生时间</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5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91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yyyyMMdd</w:t>
            </w:r>
            <w:r>
              <w:rPr>
                <w:rFonts w:hint="eastAsia" w:ascii="微软雅黑" w:hAnsi="微软雅黑" w:eastAsia="微软雅黑" w:cs="微软雅黑"/>
                <w:bCs/>
                <w:color w:val="000000"/>
                <w:szCs w:val="21"/>
              </w:rPr>
              <w:t>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placeCode</w:t>
            </w:r>
          </w:p>
        </w:tc>
        <w:tc>
          <w:tcPr>
            <w:tcW w:w="1843"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开票点编码</w:t>
            </w:r>
          </w:p>
        </w:tc>
        <w:tc>
          <w:tcPr>
            <w:tcW w:w="1134"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String</w:t>
            </w:r>
          </w:p>
        </w:tc>
        <w:tc>
          <w:tcPr>
            <w:tcW w:w="953"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50</w:t>
            </w:r>
          </w:p>
        </w:tc>
        <w:tc>
          <w:tcPr>
            <w:tcW w:w="915"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是</w:t>
            </w:r>
          </w:p>
        </w:tc>
        <w:tc>
          <w:tcPr>
            <w:tcW w:w="2392"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rPr>
              <w:t>直接填写业务系统内部编码值，由医疗平台配置对照</w:t>
            </w:r>
          </w:p>
        </w:tc>
      </w:tr>
    </w:tbl>
    <w:p>
      <w:pPr>
        <w:pStyle w:val="6"/>
        <w:spacing w:before="156" w:beforeLines="50" w:after="156" w:afterLines="50" w:line="0" w:lineRule="atLeast"/>
        <w:ind w:left="0" w:firstLine="0"/>
        <w:rPr>
          <w:rFonts w:ascii="微软雅黑" w:hAnsi="微软雅黑" w:eastAsia="微软雅黑" w:cs="微软雅黑"/>
        </w:rPr>
      </w:pPr>
      <w:bookmarkStart w:id="172" w:name="_Toc7074"/>
      <w:r>
        <w:rPr>
          <w:rFonts w:hint="eastAsia" w:ascii="微软雅黑" w:hAnsi="微软雅黑" w:eastAsia="微软雅黑" w:cs="微软雅黑"/>
        </w:rPr>
        <w:t>返回结果参数</w:t>
      </w:r>
      <w:bookmarkEnd w:id="172"/>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p>
        </w:tc>
      </w:tr>
    </w:tbl>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bCs/>
          <w:szCs w:val="21"/>
        </w:rPr>
        <w:t>B-1 返回结果内容message，响应业务参数-&gt;JSONObject类型</w:t>
      </w:r>
    </w:p>
    <w:tbl>
      <w:tblPr>
        <w:tblStyle w:val="35"/>
        <w:tblW w:w="91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21"/>
        <w:gridCol w:w="1963"/>
        <w:gridCol w:w="1134"/>
        <w:gridCol w:w="992"/>
        <w:gridCol w:w="993"/>
        <w:gridCol w:w="23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gridSpan w:val="2"/>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96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3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gridSpan w:val="2"/>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eScarletBillBatchCode</w:t>
            </w:r>
          </w:p>
        </w:tc>
        <w:tc>
          <w:tcPr>
            <w:tcW w:w="196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电子红票票据代码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gridSpan w:val="2"/>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eScarletBillNo</w:t>
            </w:r>
          </w:p>
        </w:tc>
        <w:tc>
          <w:tcPr>
            <w:tcW w:w="196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电子红票票据号码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gridSpan w:val="2"/>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eScarletRandom</w:t>
            </w:r>
          </w:p>
        </w:tc>
        <w:tc>
          <w:tcPr>
            <w:tcW w:w="196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电子红票校验码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9" w:type="dxa"/>
            <w:gridSpan w:val="2"/>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createTime</w:t>
            </w:r>
          </w:p>
        </w:tc>
        <w:tc>
          <w:tcPr>
            <w:tcW w:w="196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电子红票生成时间</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bookmarkStart w:id="173" w:name="OLE_LINK43" w:colFirst="0" w:colLast="5"/>
            <w:r>
              <w:rPr>
                <w:rFonts w:hint="eastAsia" w:ascii="微软雅黑" w:hAnsi="微软雅黑" w:eastAsia="微软雅黑" w:cs="微软雅黑"/>
                <w:szCs w:val="21"/>
              </w:rPr>
              <w:t>billQRCode</w:t>
            </w:r>
          </w:p>
        </w:tc>
        <w:tc>
          <w:tcPr>
            <w:tcW w:w="1984" w:type="dxa"/>
            <w:gridSpan w:val="2"/>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电子票据二维码图片数据</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该值已Base64编码，解析时需要Base64解码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pictureUrl</w:t>
            </w:r>
          </w:p>
        </w:tc>
        <w:tc>
          <w:tcPr>
            <w:tcW w:w="1984" w:type="dxa"/>
            <w:gridSpan w:val="2"/>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电子票据H5页面URL</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372"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pictureNetUrl</w:t>
            </w:r>
          </w:p>
        </w:tc>
        <w:tc>
          <w:tcPr>
            <w:tcW w:w="1984" w:type="dxa"/>
            <w:gridSpan w:val="2"/>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电子票据外网H5页面URL地址</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3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按需配置</w:t>
            </w:r>
          </w:p>
        </w:tc>
      </w:tr>
      <w:bookmarkEnd w:id="166"/>
      <w:bookmarkEnd w:id="167"/>
      <w:bookmarkEnd w:id="173"/>
    </w:tbl>
    <w:p>
      <w:pPr>
        <w:pStyle w:val="74"/>
        <w:spacing w:before="156" w:beforeLines="50" w:after="156" w:afterLines="50" w:line="0" w:lineRule="atLeast"/>
        <w:ind w:left="0" w:right="0" w:firstLine="0"/>
        <w:rPr>
          <w:rFonts w:ascii="微软雅黑" w:hAnsi="微软雅黑" w:eastAsia="微软雅黑" w:cs="微软雅黑"/>
        </w:rPr>
      </w:pPr>
      <w:bookmarkStart w:id="174" w:name="_获取电子票据告知单接口"/>
      <w:bookmarkEnd w:id="174"/>
      <w:bookmarkStart w:id="175" w:name="_1004根据业务流水号获取开票结果"/>
      <w:bookmarkEnd w:id="175"/>
      <w:bookmarkStart w:id="176" w:name="_Toc5308"/>
      <w:bookmarkStart w:id="177" w:name="_Toc9300"/>
      <w:bookmarkStart w:id="178" w:name="_Toc491359840"/>
      <w:r>
        <w:rPr>
          <w:rFonts w:hint="eastAsia" w:ascii="微软雅黑" w:hAnsi="微软雅黑" w:eastAsia="微软雅黑" w:cs="微软雅黑"/>
        </w:rPr>
        <w:t>根据业务流水号获取开票情况接口</w:t>
      </w:r>
      <w:bookmarkEnd w:id="176"/>
      <w:bookmarkEnd w:id="17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业务系统根据唯一业务流水号向医疗电子票据管理平台发起获取电子票据开具结果请求,获取电子票据开票情况。</w:t>
      </w:r>
    </w:p>
    <w:p>
      <w:pPr>
        <w:pStyle w:val="6"/>
        <w:spacing w:before="156" w:beforeLines="50" w:after="156" w:afterLines="50" w:line="0" w:lineRule="atLeast"/>
        <w:ind w:left="0" w:firstLine="0"/>
        <w:rPr>
          <w:rFonts w:ascii="微软雅黑" w:hAnsi="微软雅黑" w:eastAsia="微软雅黑" w:cs="微软雅黑"/>
        </w:rPr>
      </w:pPr>
      <w:bookmarkStart w:id="179" w:name="_Toc496"/>
      <w:r>
        <w:rPr>
          <w:rFonts w:hint="eastAsia" w:ascii="微软雅黑" w:hAnsi="微软雅黑" w:eastAsia="微软雅黑" w:cs="微软雅黑"/>
        </w:rPr>
        <w:t>服务标识 getEBillByBusNo</w:t>
      </w:r>
      <w:bookmarkEnd w:id="179"/>
    </w:p>
    <w:p>
      <w:pPr>
        <w:pStyle w:val="6"/>
        <w:spacing w:before="156" w:beforeLines="50" w:after="156" w:afterLines="50" w:line="0" w:lineRule="atLeast"/>
        <w:ind w:left="0" w:firstLine="0"/>
        <w:rPr>
          <w:rFonts w:ascii="微软雅黑" w:hAnsi="微软雅黑" w:eastAsia="微软雅黑" w:cs="微软雅黑"/>
        </w:rPr>
      </w:pPr>
      <w:bookmarkStart w:id="180" w:name="_Toc4999"/>
      <w:r>
        <w:rPr>
          <w:rFonts w:hint="eastAsia" w:ascii="微软雅黑" w:hAnsi="微软雅黑" w:eastAsia="微软雅黑" w:cs="微软雅黑"/>
        </w:rPr>
        <w:t>服务版本号</w:t>
      </w:r>
      <w:bookmarkEnd w:id="180"/>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181" w:name="_Toc28017"/>
      <w:r>
        <w:rPr>
          <w:rFonts w:hint="eastAsia" w:ascii="微软雅黑" w:hAnsi="微软雅黑" w:eastAsia="微软雅黑" w:cs="微软雅黑"/>
        </w:rPr>
        <w:t>请求业务参数</w:t>
      </w:r>
      <w:bookmarkEnd w:id="181"/>
    </w:p>
    <w:tbl>
      <w:tblPr>
        <w:tblStyle w:val="35"/>
        <w:tblW w:w="89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34"/>
        <w:gridCol w:w="983"/>
        <w:gridCol w:w="1002"/>
        <w:gridCol w:w="2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98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85"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业务流水号</w:t>
            </w:r>
          </w:p>
        </w:tc>
        <w:tc>
          <w:tcPr>
            <w:tcW w:w="1134"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32</w:t>
            </w:r>
          </w:p>
        </w:tc>
        <w:tc>
          <w:tcPr>
            <w:tcW w:w="10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单位内部唯一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busDateTime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业务发生时间</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5" w:type="dxa"/>
            <w:vAlign w:val="center"/>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值为请求开具电子票据时传入的业务发生时间</w:t>
            </w:r>
          </w:p>
        </w:tc>
      </w:tr>
    </w:tbl>
    <w:p>
      <w:pPr>
        <w:pStyle w:val="6"/>
        <w:spacing w:before="156" w:beforeLines="50" w:after="156" w:afterLines="50" w:line="0" w:lineRule="atLeast"/>
        <w:ind w:left="0" w:firstLine="0"/>
        <w:rPr>
          <w:rFonts w:ascii="微软雅黑" w:hAnsi="微软雅黑" w:eastAsia="微软雅黑" w:cs="微软雅黑"/>
        </w:rPr>
      </w:pPr>
      <w:bookmarkStart w:id="182" w:name="_Toc18901"/>
      <w:r>
        <w:rPr>
          <w:rFonts w:hint="eastAsia" w:ascii="微软雅黑" w:hAnsi="微软雅黑" w:eastAsia="微软雅黑" w:cs="微软雅黑"/>
        </w:rPr>
        <w:t>返回结果参数</w:t>
      </w:r>
      <w:bookmarkEnd w:id="182"/>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p>
        </w:tc>
      </w:tr>
    </w:tbl>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bCs/>
          <w:szCs w:val="21"/>
        </w:rPr>
        <w:t>B-1 返回结果内容message，响应业务参数-&gt;JSONObject类型</w:t>
      </w:r>
    </w:p>
    <w:tbl>
      <w:tblPr>
        <w:tblStyle w:val="35"/>
        <w:tblW w:w="89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6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billQRCode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电子票据二维码图片数据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该值已Base64编码，解析时需要Base64解码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createTime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电子票据创建时间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vAlign w:val="center"/>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szCs w:val="21"/>
              </w:rPr>
              <w:t>创建时间：时间格式精确到毫秒</w:t>
            </w:r>
            <w:r>
              <w:rPr>
                <w:rFonts w:hint="eastAsia" w:ascii="微软雅黑" w:hAnsi="微软雅黑" w:eastAsia="微软雅黑" w:cs="微软雅黑"/>
                <w:bCs/>
                <w:color w:val="000000"/>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pictureNetUrl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电子票据外网H5页面URL地址</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按需配置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isScarlet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是否已开红票</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Cs/>
                <w:color w:val="000000"/>
                <w:szCs w:val="21"/>
              </w:rPr>
              <w:t>0未开红票，1已开红票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scarletBillQRCode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电子红票二维码图片数据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该值已Base64编码，解析时需要Base64解码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scarletCreateTime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电子红票创建时间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创建时间：时间格式精确到毫秒</w:t>
            </w:r>
            <w:r>
              <w:rPr>
                <w:rFonts w:hint="eastAsia" w:ascii="微软雅黑" w:hAnsi="微软雅黑" w:eastAsia="微软雅黑" w:cs="微软雅黑"/>
                <w:bCs/>
                <w:color w:val="000000"/>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scarletBillBusDate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电子红票业务发生时间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scarletPictureUrl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电子红票H5页面URL</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scarletPictureNetUrl</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电子红票外网H5页面URL地址</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1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按需配置</w:t>
            </w:r>
          </w:p>
        </w:tc>
      </w:tr>
    </w:tbl>
    <w:p>
      <w:pPr>
        <w:pStyle w:val="5"/>
        <w:spacing w:before="156" w:beforeLines="50" w:after="156" w:afterLines="50" w:line="0" w:lineRule="atLeast"/>
        <w:ind w:left="0" w:firstLine="0"/>
        <w:rPr>
          <w:rFonts w:ascii="微软雅黑" w:hAnsi="微软雅黑" w:eastAsia="微软雅黑" w:cs="微软雅黑"/>
        </w:rPr>
      </w:pPr>
      <w:bookmarkStart w:id="183" w:name="_获取电子票据状态接口"/>
      <w:bookmarkEnd w:id="183"/>
      <w:bookmarkStart w:id="184" w:name="_Toc151"/>
      <w:bookmarkStart w:id="185" w:name="_根据电子票信息获取电子票据状态接口"/>
      <w:bookmarkStart w:id="186" w:name="_Toc28416"/>
      <w:r>
        <w:rPr>
          <w:rFonts w:hint="eastAsia" w:ascii="微软雅黑" w:hAnsi="微软雅黑" w:eastAsia="微软雅黑" w:cs="微软雅黑"/>
        </w:rPr>
        <w:t>根据电子票信息获取电子票据状态接口</w:t>
      </w:r>
      <w:bookmarkEnd w:id="184"/>
      <w:bookmarkEnd w:id="185"/>
      <w:bookmarkEnd w:id="186"/>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w:t>
      </w:r>
      <w:bookmarkStart w:id="187" w:name="OLE_LINK89"/>
      <w:r>
        <w:rPr>
          <w:rFonts w:hint="eastAsia" w:ascii="微软雅黑" w:hAnsi="微软雅黑" w:eastAsia="微软雅黑" w:cs="微软雅黑"/>
        </w:rPr>
        <w:t>电子票据信息向医疗电子票据管理平台发起获取电子票据状态请求,获取已开电子票据的实际状态信息</w:t>
      </w:r>
      <w:bookmarkEnd w:id="187"/>
      <w:r>
        <w:rPr>
          <w:rFonts w:hint="eastAsia" w:ascii="微软雅黑" w:hAnsi="微软雅黑" w:eastAsia="微软雅黑" w:cs="微软雅黑"/>
        </w:rPr>
        <w:t>。</w:t>
      </w:r>
    </w:p>
    <w:p>
      <w:pPr>
        <w:pStyle w:val="6"/>
        <w:spacing w:before="156" w:beforeLines="50" w:after="156" w:afterLines="50" w:line="0" w:lineRule="atLeast"/>
        <w:ind w:left="0" w:firstLine="0"/>
        <w:rPr>
          <w:rFonts w:ascii="微软雅黑" w:hAnsi="微软雅黑" w:eastAsia="微软雅黑" w:cs="微软雅黑"/>
        </w:rPr>
      </w:pPr>
      <w:bookmarkStart w:id="188" w:name="_Toc9044"/>
      <w:r>
        <w:rPr>
          <w:rFonts w:hint="eastAsia" w:ascii="微软雅黑" w:hAnsi="微软雅黑" w:eastAsia="微软雅黑" w:cs="微软雅黑"/>
        </w:rPr>
        <w:t xml:space="preserve">服务标识 </w:t>
      </w:r>
      <w:r>
        <w:rPr>
          <w:rFonts w:hint="eastAsia" w:ascii="微软雅黑" w:hAnsi="微软雅黑" w:eastAsia="微软雅黑" w:cs="微软雅黑"/>
          <w:sz w:val="22"/>
          <w:lang w:bidi="ar"/>
        </w:rPr>
        <w:t>getEBillStatesByBillInfo</w:t>
      </w:r>
      <w:bookmarkEnd w:id="188"/>
    </w:p>
    <w:p>
      <w:pPr>
        <w:pStyle w:val="6"/>
        <w:spacing w:before="156" w:beforeLines="50" w:after="156" w:afterLines="50" w:line="0" w:lineRule="atLeast"/>
        <w:ind w:left="0" w:firstLine="0"/>
        <w:rPr>
          <w:rFonts w:ascii="微软雅黑" w:hAnsi="微软雅黑" w:eastAsia="微软雅黑" w:cs="微软雅黑"/>
        </w:rPr>
      </w:pPr>
      <w:bookmarkStart w:id="189" w:name="_Toc25647"/>
      <w:r>
        <w:rPr>
          <w:rFonts w:hint="eastAsia" w:ascii="微软雅黑" w:hAnsi="微软雅黑" w:eastAsia="微软雅黑" w:cs="微软雅黑"/>
        </w:rPr>
        <w:t>服务版本号</w:t>
      </w:r>
      <w:bookmarkEnd w:id="18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190" w:name="_Toc22235"/>
      <w:r>
        <w:rPr>
          <w:rFonts w:hint="eastAsia" w:ascii="微软雅黑" w:hAnsi="微软雅黑" w:eastAsia="微软雅黑" w:cs="微软雅黑"/>
        </w:rPr>
        <w:t>请求业务参数</w:t>
      </w:r>
      <w:bookmarkEnd w:id="190"/>
    </w:p>
    <w:tbl>
      <w:tblPr>
        <w:tblStyle w:val="35"/>
        <w:tblW w:w="90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34"/>
        <w:gridCol w:w="983"/>
        <w:gridCol w:w="1002"/>
        <w:gridCol w:w="2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98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60"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0"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8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60" w:type="dxa"/>
            <w:vAlign w:val="center"/>
          </w:tcPr>
          <w:p>
            <w:pPr>
              <w:spacing w:before="156" w:beforeLines="50" w:after="156" w:afterLines="50" w:line="0" w:lineRule="atLeast"/>
              <w:rPr>
                <w:rFonts w:ascii="微软雅黑" w:hAnsi="微软雅黑" w:eastAsia="微软雅黑" w:cs="微软雅黑"/>
                <w:szCs w:val="21"/>
              </w:rPr>
            </w:pPr>
          </w:p>
        </w:tc>
      </w:tr>
    </w:tbl>
    <w:p>
      <w:pPr>
        <w:pStyle w:val="6"/>
        <w:spacing w:before="156" w:beforeLines="50" w:after="156" w:afterLines="50" w:line="0" w:lineRule="atLeast"/>
        <w:ind w:left="0" w:firstLine="0"/>
        <w:rPr>
          <w:rFonts w:ascii="微软雅黑" w:hAnsi="微软雅黑" w:eastAsia="微软雅黑" w:cs="微软雅黑"/>
        </w:rPr>
      </w:pPr>
      <w:bookmarkStart w:id="191" w:name="_Toc3537"/>
      <w:r>
        <w:rPr>
          <w:rFonts w:hint="eastAsia" w:ascii="微软雅黑" w:hAnsi="微软雅黑" w:eastAsia="微软雅黑" w:cs="微软雅黑"/>
        </w:rPr>
        <w:t>返回结果参数</w:t>
      </w:r>
      <w:bookmarkEnd w:id="191"/>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p>
        </w:tc>
      </w:tr>
    </w:tbl>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b/>
          <w:bCs/>
          <w:szCs w:val="21"/>
        </w:rPr>
        <w:t>B-1 返回结果内容message，响应业务参数-&gt;JSONObject类型</w:t>
      </w:r>
    </w:p>
    <w:tbl>
      <w:tblPr>
        <w:tblStyle w:val="35"/>
        <w:tblW w:w="90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1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billName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电子票据种类名称</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vAlign w:val="center"/>
          </w:tcPr>
          <w:p>
            <w:pPr>
              <w:spacing w:before="156" w:beforeLines="50" w:after="156" w:afterLines="50" w:line="0" w:lineRule="atLeast"/>
              <w:jc w:val="center"/>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电子校验码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ivcDateTime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开票时间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yyyyMMdd</w:t>
            </w:r>
            <w:r>
              <w:rPr>
                <w:rFonts w:hint="eastAsia" w:ascii="微软雅黑" w:hAnsi="微软雅黑" w:eastAsia="微软雅黑" w:cs="微软雅黑"/>
                <w:bCs/>
                <w:color w:val="000000"/>
                <w:szCs w:val="21"/>
              </w:rPr>
              <w:t>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状态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 w:val="21"/>
                <w:szCs w:val="21"/>
              </w:rPr>
            </w:pPr>
            <w:r>
              <w:rPr>
                <w:rFonts w:hint="eastAsia" w:ascii="微软雅黑" w:hAnsi="微软雅黑" w:eastAsia="微软雅黑" w:cs="微软雅黑"/>
                <w:color w:val="000000"/>
              </w:rPr>
              <w:t>状态：1正常，2作废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isPrtPaper</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是否打印纸质票据</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Cs/>
                <w:color w:val="000000"/>
                <w:szCs w:val="21"/>
              </w:rPr>
              <w:t>0未打印，1已打印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纸质票据代码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shd w:val="clear" w:color="auto" w:fill="auto"/>
            <w:vAlign w:val="center"/>
          </w:tcPr>
          <w:p>
            <w:pPr>
              <w:spacing w:before="156" w:beforeLines="50" w:after="156" w:afterLines="50" w:line="0" w:lineRule="atLeast"/>
              <w:rPr>
                <w:rFonts w:ascii="微软雅黑" w:hAnsi="微软雅黑" w:eastAsia="微软雅黑" w:cs="微软雅黑"/>
                <w:color w:val="FF0000"/>
                <w:szCs w:val="21"/>
              </w:rPr>
            </w:pPr>
            <w:r>
              <w:rPr>
                <w:rFonts w:hint="eastAsia" w:ascii="微软雅黑" w:hAnsi="微软雅黑" w:eastAsia="微软雅黑" w:cs="微软雅黑"/>
                <w:color w:val="FF0000"/>
                <w:szCs w:val="21"/>
              </w:rPr>
              <w:t>如已打印纸质，则有值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纸质票据号码</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color w:val="FF0000"/>
                <w:szCs w:val="21"/>
              </w:rPr>
            </w:pPr>
            <w:r>
              <w:rPr>
                <w:rFonts w:hint="eastAsia" w:ascii="微软雅黑" w:hAnsi="微软雅黑" w:eastAsia="微软雅黑" w:cs="微软雅黑"/>
                <w:color w:val="FF0000"/>
                <w:szCs w:val="21"/>
              </w:rPr>
              <w:t>如已打印纸质，则有值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pCreateTime</w:t>
            </w:r>
          </w:p>
        </w:tc>
        <w:tc>
          <w:tcPr>
            <w:tcW w:w="1984"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纸质票据生成时间</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格式：</w:t>
            </w:r>
          </w:p>
          <w:p>
            <w:pPr>
              <w:spacing w:before="156" w:beforeLines="50" w:after="156" w:afterLines="50" w:line="0" w:lineRule="atLeast"/>
              <w:jc w:val="both"/>
              <w:rPr>
                <w:rFonts w:ascii="微软雅黑" w:hAnsi="微软雅黑" w:eastAsia="微软雅黑" w:cs="微软雅黑"/>
                <w:color w:val="FF0000"/>
                <w:szCs w:val="21"/>
              </w:rPr>
            </w:pPr>
            <w:r>
              <w:rPr>
                <w:rFonts w:hint="eastAsia" w:ascii="微软雅黑" w:hAnsi="微软雅黑" w:eastAsia="微软雅黑" w:cs="微软雅黑"/>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pBillBusDate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纸质票据业务发生时间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color w:val="FF0000"/>
                <w:szCs w:val="21"/>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isScarlet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是否已开红票</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Cs/>
                <w:color w:val="000000"/>
                <w:szCs w:val="21"/>
              </w:rPr>
              <w:t>0未开红票，1已开红票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scarletBillBatchCode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电子红票代码</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50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color w:val="FF0000"/>
                <w:szCs w:val="21"/>
              </w:rPr>
            </w:pPr>
            <w:r>
              <w:rPr>
                <w:rFonts w:hint="eastAsia" w:ascii="微软雅黑" w:hAnsi="微软雅黑" w:eastAsia="微软雅黑" w:cs="微软雅黑"/>
                <w:color w:val="FF0000"/>
                <w:szCs w:val="21"/>
              </w:rPr>
              <w:t>如已开红票，有值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scarletBillNo</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电子红票号码</w:t>
            </w:r>
          </w:p>
        </w:tc>
        <w:tc>
          <w:tcPr>
            <w:tcW w:w="1172"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color w:val="FF0000"/>
                <w:szCs w:val="21"/>
              </w:rPr>
            </w:pPr>
            <w:r>
              <w:rPr>
                <w:rFonts w:hint="eastAsia" w:ascii="微软雅黑" w:hAnsi="微软雅黑" w:eastAsia="微软雅黑" w:cs="微软雅黑"/>
                <w:color w:val="FF0000"/>
                <w:szCs w:val="21"/>
              </w:rPr>
              <w:t>如已开红票，有值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scarletRandom</w:t>
            </w:r>
          </w:p>
        </w:tc>
        <w:tc>
          <w:tcPr>
            <w:tcW w:w="1984"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电子红票随机码</w:t>
            </w:r>
          </w:p>
        </w:tc>
        <w:tc>
          <w:tcPr>
            <w:tcW w:w="1172" w:type="dxa"/>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20</w:t>
            </w:r>
          </w:p>
        </w:tc>
        <w:tc>
          <w:tcPr>
            <w:tcW w:w="1005"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tcPr>
          <w:p>
            <w:pPr>
              <w:spacing w:before="156" w:beforeLines="50" w:after="156" w:afterLines="50" w:line="0" w:lineRule="atLeast"/>
              <w:rPr>
                <w:rFonts w:ascii="微软雅黑" w:hAnsi="微软雅黑" w:eastAsia="微软雅黑" w:cs="微软雅黑"/>
                <w:color w:val="FF0000"/>
              </w:rPr>
            </w:pPr>
            <w:r>
              <w:rPr>
                <w:rFonts w:hint="eastAsia" w:ascii="微软雅黑" w:hAnsi="微软雅黑" w:eastAsia="微软雅黑" w:cs="微软雅黑"/>
                <w:color w:val="FF0000"/>
              </w:rPr>
              <w:t>如已开红票，有值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scarletBillQRCode</w:t>
            </w:r>
          </w:p>
        </w:tc>
        <w:tc>
          <w:tcPr>
            <w:tcW w:w="1984"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电子红票二维码图片</w:t>
            </w:r>
          </w:p>
        </w:tc>
        <w:tc>
          <w:tcPr>
            <w:tcW w:w="1172" w:type="dxa"/>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tcPr>
          <w:p>
            <w:pPr>
              <w:spacing w:before="156" w:beforeLines="50" w:after="156" w:afterLines="50" w:line="0" w:lineRule="atLeast"/>
              <w:rPr>
                <w:rFonts w:ascii="微软雅黑" w:hAnsi="微软雅黑" w:eastAsia="微软雅黑" w:cs="微软雅黑"/>
                <w:color w:val="FF0000"/>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该值已Base64编码，解析时需要Base64解码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scarletCreateTime</w:t>
            </w:r>
          </w:p>
        </w:tc>
        <w:tc>
          <w:tcPr>
            <w:tcW w:w="198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电子红票生成时间</w:t>
            </w:r>
          </w:p>
        </w:tc>
        <w:tc>
          <w:tcPr>
            <w:tcW w:w="117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格式：</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scarletBillBusDate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电子红票业务发生时间</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17</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否</w:t>
            </w:r>
          </w:p>
        </w:tc>
        <w:tc>
          <w:tcPr>
            <w:tcW w:w="221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FF0000"/>
              </w:rPr>
              <w:t>如已开红票，有值</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格式：yyyyMMdd</w:t>
            </w:r>
            <w:r>
              <w:rPr>
                <w:rFonts w:hint="eastAsia" w:ascii="微软雅黑" w:hAnsi="微软雅黑" w:eastAsia="微软雅黑" w:cs="微软雅黑"/>
                <w:bCs/>
                <w:color w:val="000000"/>
                <w:szCs w:val="21"/>
              </w:rPr>
              <w:t>HHmmssSSS</w:t>
            </w:r>
          </w:p>
        </w:tc>
      </w:tr>
      <w:bookmarkEnd w:id="178"/>
    </w:tbl>
    <w:p>
      <w:pPr>
        <w:pStyle w:val="4"/>
        <w:spacing w:before="156" w:beforeLines="50" w:after="156" w:afterLines="50" w:line="0" w:lineRule="atLeast"/>
        <w:ind w:left="0" w:firstLine="0"/>
        <w:rPr>
          <w:rFonts w:ascii="微软雅黑" w:hAnsi="微软雅黑" w:eastAsia="微软雅黑" w:cs="微软雅黑"/>
        </w:rPr>
      </w:pPr>
      <w:bookmarkStart w:id="192" w:name="_获取电子票据告知单内容接口"/>
      <w:bookmarkEnd w:id="192"/>
      <w:bookmarkStart w:id="193" w:name="_医疗电子票据欠费开具并返回告知单信息接口"/>
      <w:bookmarkEnd w:id="193"/>
      <w:bookmarkStart w:id="194" w:name="_根据受理号获取纸质票据开具状态接口"/>
      <w:bookmarkEnd w:id="194"/>
      <w:bookmarkStart w:id="195" w:name="_查看电子票据接口_1"/>
      <w:bookmarkEnd w:id="195"/>
      <w:bookmarkStart w:id="196" w:name="_获取电子票据告知单信息接口"/>
      <w:bookmarkEnd w:id="196"/>
      <w:bookmarkStart w:id="197" w:name="_电子票据欠费补缴反馈接口"/>
      <w:bookmarkEnd w:id="197"/>
      <w:bookmarkStart w:id="198" w:name="_获取电子票据图片接口"/>
      <w:bookmarkEnd w:id="198"/>
      <w:bookmarkStart w:id="199" w:name="_根据业务流水号获取电子票据状态接口"/>
      <w:bookmarkEnd w:id="199"/>
      <w:bookmarkStart w:id="200" w:name="_Toc8668"/>
      <w:bookmarkStart w:id="201" w:name="_Toc29013"/>
      <w:r>
        <w:rPr>
          <w:rFonts w:hint="eastAsia" w:ascii="微软雅黑" w:hAnsi="微软雅黑" w:eastAsia="微软雅黑" w:cs="微软雅黑"/>
        </w:rPr>
        <w:t>打印及通知</w:t>
      </w:r>
      <w:bookmarkEnd w:id="200"/>
      <w:bookmarkEnd w:id="201"/>
    </w:p>
    <w:p>
      <w:pPr>
        <w:pStyle w:val="5"/>
        <w:spacing w:before="156" w:beforeLines="50" w:after="156" w:afterLines="50" w:line="0" w:lineRule="atLeast"/>
        <w:ind w:left="0" w:firstLine="0"/>
        <w:rPr>
          <w:rFonts w:ascii="微软雅黑" w:hAnsi="微软雅黑" w:eastAsia="微软雅黑" w:cs="微软雅黑"/>
        </w:rPr>
      </w:pPr>
      <w:bookmarkStart w:id="202" w:name="_Toc22605"/>
      <w:bookmarkStart w:id="203" w:name="_打印电子票据接口"/>
      <w:bookmarkStart w:id="204" w:name="_Toc4288"/>
      <w:r>
        <w:rPr>
          <w:rFonts w:hint="eastAsia" w:ascii="微软雅黑" w:hAnsi="微软雅黑" w:eastAsia="微软雅黑" w:cs="微软雅黑"/>
        </w:rPr>
        <w:t>打印电子票据接口</w:t>
      </w:r>
      <w:bookmarkEnd w:id="202"/>
      <w:bookmarkEnd w:id="203"/>
      <w:bookmarkEnd w:id="204"/>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业务系统根据电子票据信息，向医疗电子票据管理平台发起打印电子票据请求，并完成电子票据打印（如：电子票据图片，打印在A4纸上）。</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注：仅适用于业务系统调用博思客户端组件</w:t>
      </w:r>
      <w:r>
        <w:rPr>
          <w:rFonts w:hint="eastAsia" w:ascii="微软雅黑" w:hAnsi="微软雅黑" w:eastAsia="微软雅黑" w:cs="微软雅黑"/>
          <w:color w:val="0000FF"/>
        </w:rPr>
        <w:t>（通过JS访问组件或直接访问组件）</w:t>
      </w:r>
      <w:r>
        <w:rPr>
          <w:rFonts w:hint="eastAsia" w:ascii="微软雅黑" w:hAnsi="微软雅黑" w:eastAsia="微软雅黑" w:cs="微软雅黑"/>
        </w:rPr>
        <w:t>。</w:t>
      </w:r>
    </w:p>
    <w:p>
      <w:pPr>
        <w:pStyle w:val="6"/>
        <w:spacing w:before="156" w:beforeLines="50" w:after="156" w:afterLines="50" w:line="0" w:lineRule="atLeast"/>
        <w:ind w:left="0" w:firstLine="0"/>
        <w:rPr>
          <w:rFonts w:ascii="微软雅黑" w:hAnsi="微软雅黑" w:eastAsia="微软雅黑" w:cs="微软雅黑"/>
        </w:rPr>
      </w:pPr>
      <w:bookmarkStart w:id="205" w:name="_Toc21732"/>
      <w:r>
        <w:rPr>
          <w:rFonts w:hint="eastAsia" w:ascii="微软雅黑" w:hAnsi="微软雅黑" w:eastAsia="微软雅黑" w:cs="微软雅黑"/>
        </w:rPr>
        <w:t>服务标识 p</w:t>
      </w:r>
      <w:r>
        <w:rPr>
          <w:rFonts w:hint="eastAsia" w:ascii="微软雅黑" w:hAnsi="微软雅黑" w:eastAsia="微软雅黑" w:cs="微软雅黑"/>
          <w:sz w:val="22"/>
          <w:lang w:bidi="ar"/>
        </w:rPr>
        <w:t>rintElectBill</w:t>
      </w:r>
      <w:bookmarkEnd w:id="205"/>
    </w:p>
    <w:p>
      <w:pPr>
        <w:pStyle w:val="6"/>
        <w:spacing w:before="156" w:beforeLines="50" w:after="156" w:afterLines="50" w:line="0" w:lineRule="atLeast"/>
        <w:ind w:left="0" w:firstLine="0"/>
        <w:rPr>
          <w:rFonts w:ascii="微软雅黑" w:hAnsi="微软雅黑" w:eastAsia="微软雅黑" w:cs="微软雅黑"/>
        </w:rPr>
      </w:pPr>
      <w:bookmarkStart w:id="206" w:name="_Toc28679"/>
      <w:r>
        <w:rPr>
          <w:rFonts w:hint="eastAsia" w:ascii="微软雅黑" w:hAnsi="微软雅黑" w:eastAsia="微软雅黑" w:cs="微软雅黑"/>
        </w:rPr>
        <w:t>服务版本号</w:t>
      </w:r>
      <w:bookmarkEnd w:id="206"/>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207" w:name="_Toc29140"/>
      <w:r>
        <w:rPr>
          <w:rFonts w:hint="eastAsia" w:ascii="微软雅黑" w:hAnsi="微软雅黑" w:eastAsia="微软雅黑" w:cs="微软雅黑"/>
        </w:rPr>
        <w:t>请求业务参数</w:t>
      </w:r>
      <w:bookmarkEnd w:id="207"/>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43"/>
        <w:gridCol w:w="1134"/>
        <w:gridCol w:w="992"/>
        <w:gridCol w:w="992"/>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84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2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w:t>
            </w:r>
            <w:r>
              <w:rPr>
                <w:rFonts w:hint="eastAsia" w:ascii="微软雅黑" w:hAnsi="微软雅黑" w:eastAsia="微软雅黑" w:cs="微软雅黑"/>
              </w:rPr>
              <w:t>票</w:t>
            </w:r>
            <w:r>
              <w:rPr>
                <w:rFonts w:hint="eastAsia" w:ascii="微软雅黑" w:hAnsi="微软雅黑" w:eastAsia="微软雅黑" w:cs="微软雅黑"/>
                <w:szCs w:val="21"/>
              </w:rPr>
              <w:t>据校验码</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bl>
    <w:p>
      <w:pPr>
        <w:pStyle w:val="6"/>
        <w:spacing w:before="156" w:beforeLines="50" w:after="156" w:afterLines="50" w:line="0" w:lineRule="atLeast"/>
        <w:ind w:left="0" w:firstLine="0"/>
        <w:rPr>
          <w:rFonts w:ascii="微软雅黑" w:hAnsi="微软雅黑" w:eastAsia="微软雅黑" w:cs="微软雅黑"/>
        </w:rPr>
      </w:pPr>
      <w:bookmarkStart w:id="208" w:name="_Toc8443"/>
      <w:r>
        <w:rPr>
          <w:rFonts w:hint="eastAsia" w:ascii="微软雅黑" w:hAnsi="微软雅黑" w:eastAsia="微软雅黑" w:cs="微软雅黑"/>
        </w:rPr>
        <w:t>返回结果参数</w:t>
      </w:r>
      <w:bookmarkEnd w:id="208"/>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2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5"/>
        <w:spacing w:before="156" w:beforeLines="50" w:after="156" w:afterLines="50" w:line="0" w:lineRule="atLeast"/>
        <w:ind w:left="0" w:firstLine="0"/>
        <w:rPr>
          <w:rFonts w:ascii="微软雅黑" w:hAnsi="微软雅黑" w:eastAsia="微软雅黑" w:cs="微软雅黑"/>
        </w:rPr>
      </w:pPr>
      <w:bookmarkStart w:id="209" w:name="_Toc2144"/>
      <w:bookmarkStart w:id="210" w:name="_获取电子票据清单总页数接口"/>
      <w:r>
        <w:rPr>
          <w:rFonts w:hint="eastAsia" w:ascii="微软雅黑" w:hAnsi="微软雅黑" w:eastAsia="微软雅黑" w:cs="微软雅黑"/>
        </w:rPr>
        <w:t>获取电子票据清单总页数接口</w:t>
      </w:r>
      <w:bookmarkEnd w:id="209"/>
      <w:bookmarkEnd w:id="210"/>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业务系统根据电子票据信息，向医疗电子票据管理平台发起获取电子票据清单总页数请求，返回清单总页数，如电子票据不含清单，则返回值为平台错误提示信息。</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服务标识 getElectBill</w:t>
      </w:r>
      <w:r>
        <w:rPr>
          <w:rFonts w:hint="eastAsia" w:ascii="微软雅黑" w:hAnsi="微软雅黑" w:eastAsia="微软雅黑" w:cs="微软雅黑"/>
          <w:color w:val="333333"/>
          <w:sz w:val="21"/>
          <w:szCs w:val="21"/>
          <w:shd w:val="clear" w:color="auto" w:fill="FFFFFF"/>
        </w:rPr>
        <w:t>lListTotal</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服务版本号</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请求业务参数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43"/>
        <w:gridCol w:w="1134"/>
        <w:gridCol w:w="992"/>
        <w:gridCol w:w="992"/>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84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2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w:t>
            </w:r>
            <w:r>
              <w:rPr>
                <w:rFonts w:hint="eastAsia" w:ascii="微软雅黑" w:hAnsi="微软雅黑" w:eastAsia="微软雅黑" w:cs="微软雅黑"/>
              </w:rPr>
              <w:t>票</w:t>
            </w:r>
            <w:r>
              <w:rPr>
                <w:rFonts w:hint="eastAsia" w:ascii="微软雅黑" w:hAnsi="微软雅黑" w:eastAsia="微软雅黑" w:cs="微软雅黑"/>
                <w:szCs w:val="21"/>
              </w:rPr>
              <w:t>据校验码</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bl>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返回结果参数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2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Cs w:val="21"/>
              </w:rPr>
              <w:t>详见 B-1，JSON格式</w:t>
            </w:r>
            <w:r>
              <w:rPr>
                <w:rFonts w:hint="eastAsia" w:ascii="微软雅黑" w:hAnsi="微软雅黑" w:eastAsia="微软雅黑" w:cs="微软雅黑"/>
                <w:b/>
                <w:bCs/>
                <w:color w:val="000000"/>
              </w:rPr>
              <w:t>BASE64</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B-1 返回结果内容message，响应业务参数-&gt;JSONObject类型</w:t>
      </w:r>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11"/>
        <w:gridCol w:w="1245"/>
        <w:gridCol w:w="990"/>
        <w:gridCol w:w="1005"/>
        <w:gridCol w:w="21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1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4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8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total</w:t>
            </w:r>
          </w:p>
        </w:tc>
        <w:tc>
          <w:tcPr>
            <w:tcW w:w="191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总页数</w:t>
            </w:r>
          </w:p>
        </w:tc>
        <w:tc>
          <w:tcPr>
            <w:tcW w:w="124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82" w:type="dxa"/>
            <w:vAlign w:val="center"/>
          </w:tcPr>
          <w:p>
            <w:pPr>
              <w:spacing w:before="156" w:beforeLines="50" w:after="156" w:afterLines="50" w:line="0" w:lineRule="atLeast"/>
              <w:rPr>
                <w:rFonts w:ascii="微软雅黑" w:hAnsi="微软雅黑" w:eastAsia="微软雅黑" w:cs="微软雅黑"/>
                <w:szCs w:val="21"/>
              </w:rPr>
            </w:pPr>
          </w:p>
        </w:tc>
      </w:tr>
    </w:tbl>
    <w:p>
      <w:pPr>
        <w:pStyle w:val="5"/>
        <w:spacing w:before="156" w:beforeLines="50" w:after="156" w:afterLines="50" w:line="0" w:lineRule="atLeast"/>
        <w:ind w:left="0" w:firstLine="0"/>
        <w:rPr>
          <w:rFonts w:ascii="微软雅黑" w:hAnsi="微软雅黑" w:eastAsia="微软雅黑" w:cs="微软雅黑"/>
        </w:rPr>
      </w:pPr>
      <w:bookmarkStart w:id="211" w:name="_打印电子票据清单接口"/>
      <w:bookmarkStart w:id="212" w:name="_Toc1166"/>
      <w:r>
        <w:rPr>
          <w:rFonts w:hint="eastAsia" w:ascii="微软雅黑" w:hAnsi="微软雅黑" w:eastAsia="微软雅黑" w:cs="微软雅黑"/>
        </w:rPr>
        <w:t>打印电子票据清单接口</w:t>
      </w:r>
      <w:bookmarkEnd w:id="211"/>
      <w:bookmarkEnd w:id="212"/>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业务系统根据电子票据信息，向医疗电子票据管理平台发起打印电子票据清单请求，并完成电子票据清单打印（如：电子票据清单图片，打印在A4纸上）。</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注：仅适用于业务系统调用博思客户端组件</w:t>
      </w:r>
      <w:r>
        <w:rPr>
          <w:rFonts w:hint="eastAsia" w:ascii="微软雅黑" w:hAnsi="微软雅黑" w:eastAsia="微软雅黑" w:cs="微软雅黑"/>
          <w:color w:val="0000FF"/>
        </w:rPr>
        <w:t>（通过JS访问组件或直接访问组件）</w:t>
      </w:r>
      <w:r>
        <w:rPr>
          <w:rFonts w:hint="eastAsia" w:ascii="微软雅黑" w:hAnsi="微软雅黑" w:eastAsia="微软雅黑" w:cs="微软雅黑"/>
        </w:rPr>
        <w:t>。</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 xml:space="preserve">服务标识 </w:t>
      </w:r>
      <w:r>
        <w:rPr>
          <w:rFonts w:hint="eastAsia" w:ascii="微软雅黑" w:hAnsi="微软雅黑" w:eastAsia="微软雅黑" w:cs="微软雅黑"/>
          <w:color w:val="333333"/>
          <w:sz w:val="21"/>
          <w:szCs w:val="21"/>
          <w:shd w:val="clear" w:color="auto" w:fill="FFFFFF"/>
        </w:rPr>
        <w:t>printElectBillList</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服务版本号</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请求业务参数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43"/>
        <w:gridCol w:w="1134"/>
        <w:gridCol w:w="992"/>
        <w:gridCol w:w="992"/>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84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2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50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w:t>
            </w:r>
          </w:p>
        </w:tc>
        <w:tc>
          <w:tcPr>
            <w:tcW w:w="1843"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电子票据号</w:t>
            </w:r>
          </w:p>
        </w:tc>
        <w:tc>
          <w:tcPr>
            <w:tcW w:w="1134"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bottom"/>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random</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电子</w:t>
            </w:r>
            <w:r>
              <w:rPr>
                <w:rFonts w:hint="eastAsia" w:ascii="微软雅黑" w:hAnsi="微软雅黑" w:eastAsia="微软雅黑" w:cs="微软雅黑"/>
              </w:rPr>
              <w:t>票</w:t>
            </w:r>
            <w:r>
              <w:rPr>
                <w:rFonts w:hint="eastAsia" w:ascii="微软雅黑" w:hAnsi="微软雅黑" w:eastAsia="微软雅黑" w:cs="微软雅黑"/>
                <w:szCs w:val="21"/>
              </w:rPr>
              <w:t>据校验码</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total</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rPr>
              <w:t>总页数</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调用接口【</w:t>
            </w:r>
            <w:r>
              <w:rPr>
                <w:rFonts w:hint="eastAsia" w:ascii="微软雅黑" w:hAnsi="微软雅黑" w:eastAsia="微软雅黑" w:cs="微软雅黑"/>
                <w:b/>
                <w:bCs/>
                <w:szCs w:val="21"/>
              </w:rPr>
              <w:t>获取电子票据清单总页数接口</w:t>
            </w:r>
            <w:r>
              <w:rPr>
                <w:rFonts w:hint="eastAsia" w:ascii="微软雅黑" w:hAnsi="微软雅黑" w:eastAsia="微软雅黑" w:cs="微软雅黑"/>
                <w:szCs w:val="21"/>
              </w:rPr>
              <w:t>】获取返回值，如总页数值为0指不含清单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pageNoBgn</w:t>
            </w:r>
          </w:p>
        </w:tc>
        <w:tc>
          <w:tcPr>
            <w:tcW w:w="1843"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szCs w:val="21"/>
              </w:rPr>
              <w:t>起始页码</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&lt;=终止页码</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&lt;=总页数</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打印清单如需打印电子票据，起始页码设置为0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pageNoEnd</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终止页码</w:t>
            </w:r>
          </w:p>
        </w:tc>
        <w:tc>
          <w:tcPr>
            <w:tcW w:w="113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Integer</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9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&gt;=起始页码</w:t>
            </w:r>
          </w:p>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&lt;=总页数</w:t>
            </w:r>
          </w:p>
        </w:tc>
      </w:tr>
    </w:tbl>
    <w:p>
      <w:pPr>
        <w:spacing w:before="156" w:beforeLines="50" w:after="156" w:afterLines="50" w:line="0" w:lineRule="atLeast"/>
        <w:rPr>
          <w:rFonts w:ascii="微软雅黑" w:hAnsi="微软雅黑" w:eastAsia="微软雅黑" w:cs="微软雅黑"/>
          <w:b/>
          <w:bCs/>
          <w:color w:val="0000FF"/>
        </w:rPr>
      </w:pPr>
      <w:r>
        <w:rPr>
          <w:rFonts w:hint="eastAsia" w:ascii="微软雅黑" w:hAnsi="微软雅黑" w:eastAsia="微软雅黑" w:cs="微软雅黑"/>
          <w:b/>
          <w:bCs/>
          <w:color w:val="0000FF"/>
        </w:rPr>
        <w:t>注：如需要打印所有页，则起始页码=1，终止页码=总页数；如需要指定范围，起始、终止页码按需填写；</w:t>
      </w:r>
    </w:p>
    <w:p>
      <w:pPr>
        <w:numPr>
          <w:ilvl w:val="0"/>
          <w:numId w:val="14"/>
        </w:numPr>
        <w:spacing w:before="156" w:beforeLines="50" w:after="156" w:afterLines="50" w:line="0" w:lineRule="atLeast"/>
        <w:ind w:firstLine="0"/>
        <w:rPr>
          <w:rFonts w:ascii="微软雅黑" w:hAnsi="微软雅黑" w:eastAsia="微软雅黑" w:cs="微软雅黑"/>
          <w:b/>
          <w:bCs/>
          <w:color w:val="0000FF"/>
        </w:rPr>
      </w:pPr>
      <w:r>
        <w:rPr>
          <w:rFonts w:hint="eastAsia" w:ascii="微软雅黑" w:hAnsi="微软雅黑" w:eastAsia="微软雅黑" w:cs="微软雅黑"/>
          <w:b/>
          <w:bCs/>
          <w:color w:val="0000FF"/>
        </w:rPr>
        <w:t>通过获取电子票据清单总页数接口，获取清单页数</w:t>
      </w:r>
    </w:p>
    <w:p>
      <w:pPr>
        <w:numPr>
          <w:ilvl w:val="0"/>
          <w:numId w:val="14"/>
        </w:numPr>
        <w:spacing w:before="156" w:beforeLines="50" w:after="156" w:afterLines="50" w:line="0" w:lineRule="atLeast"/>
        <w:ind w:firstLine="0"/>
        <w:rPr>
          <w:rFonts w:ascii="微软雅黑" w:hAnsi="微软雅黑" w:eastAsia="微软雅黑" w:cs="微软雅黑"/>
          <w:b/>
          <w:bCs/>
          <w:color w:val="0000FF"/>
        </w:rPr>
      </w:pPr>
      <w:r>
        <w:rPr>
          <w:rFonts w:hint="eastAsia" w:ascii="微软雅黑" w:hAnsi="微软雅黑" w:eastAsia="微软雅黑" w:cs="微软雅黑"/>
          <w:b/>
          <w:bCs/>
          <w:color w:val="0000FF"/>
        </w:rPr>
        <w:t>如存在清单页，起始页码=0时，会从电子票据图片开始打印</w:t>
      </w:r>
    </w:p>
    <w:p>
      <w:pPr>
        <w:numPr>
          <w:ilvl w:val="0"/>
          <w:numId w:val="14"/>
        </w:numPr>
        <w:spacing w:before="156" w:beforeLines="50" w:after="156" w:afterLines="50" w:line="0" w:lineRule="atLeast"/>
        <w:ind w:firstLine="0"/>
        <w:rPr>
          <w:rFonts w:ascii="微软雅黑" w:hAnsi="微软雅黑" w:eastAsia="微软雅黑" w:cs="微软雅黑"/>
          <w:b/>
          <w:bCs/>
          <w:color w:val="0000FF"/>
        </w:rPr>
      </w:pPr>
      <w:r>
        <w:rPr>
          <w:rFonts w:hint="eastAsia" w:ascii="微软雅黑" w:hAnsi="微软雅黑" w:eastAsia="微软雅黑" w:cs="微软雅黑"/>
          <w:b/>
          <w:bCs/>
          <w:color w:val="0000FF"/>
        </w:rPr>
        <w:t>如不存在清单页，可直接调用打印电子票据接口，也可用调用打印电子票据清单接口，传入参数总页数=0、起始页码=0、终止页码=0，即可打印电子票据图片</w:t>
      </w:r>
    </w:p>
    <w:p>
      <w:pPr>
        <w:pStyle w:val="6"/>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返回结果参数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2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5"/>
        <w:spacing w:before="156" w:beforeLines="50" w:after="156" w:afterLines="50" w:line="0" w:lineRule="atLeast"/>
        <w:ind w:left="0" w:firstLine="0"/>
        <w:rPr>
          <w:rFonts w:hint="eastAsia" w:ascii="微软雅黑" w:hAnsi="微软雅黑" w:eastAsia="微软雅黑" w:cs="微软雅黑"/>
        </w:rPr>
      </w:pPr>
      <w:bookmarkStart w:id="213" w:name="_Toc2681"/>
      <w:bookmarkStart w:id="214" w:name="_Toc5896"/>
      <w:bookmarkStart w:id="215" w:name="_Toc3297"/>
      <w:bookmarkStart w:id="216" w:name="_电子票打印反馈接口"/>
      <w:bookmarkStart w:id="217" w:name="_Toc10668"/>
      <w:bookmarkStart w:id="218" w:name="OLE_LINK58"/>
      <w:r>
        <w:rPr>
          <w:rFonts w:hint="eastAsia" w:ascii="微软雅黑" w:hAnsi="微软雅黑" w:eastAsia="微软雅黑" w:cs="微软雅黑"/>
        </w:rPr>
        <w:t>电子票打印反馈接口</w:t>
      </w:r>
      <w:bookmarkEnd w:id="213"/>
      <w:bookmarkEnd w:id="214"/>
      <w:bookmarkEnd w:id="215"/>
    </w:p>
    <w:bookmarkEnd w:id="216"/>
    <w:p>
      <w:r>
        <w:rPr>
          <w:rFonts w:hint="eastAsia"/>
        </w:rPr>
        <w:t>业务系统打印成功后向医疗电子票据管理平台发起电子票打印反馈请求，传入已打印电子票的信息，由平台进行打印登记。</w:t>
      </w:r>
    </w:p>
    <w:p>
      <w:pPr>
        <w:pStyle w:val="6"/>
        <w:spacing w:before="156" w:beforeLines="50" w:after="156" w:afterLines="50" w:line="0" w:lineRule="atLeast"/>
        <w:ind w:left="0" w:firstLine="0"/>
        <w:rPr>
          <w:rFonts w:hint="eastAsia" w:ascii="微软雅黑" w:hAnsi="微软雅黑" w:eastAsia="微软雅黑" w:cs="微软雅黑"/>
        </w:rPr>
      </w:pPr>
      <w:r>
        <w:rPr>
          <w:rFonts w:hint="eastAsia" w:ascii="微软雅黑" w:hAnsi="微软雅黑" w:eastAsia="微软雅黑" w:cs="微软雅黑"/>
        </w:rPr>
        <w:t>服务标识 electBilllPrintFeedback</w:t>
      </w:r>
    </w:p>
    <w:p>
      <w:pPr>
        <w:pStyle w:val="6"/>
        <w:spacing w:before="156" w:beforeLines="50" w:after="156" w:afterLines="50" w:line="0" w:lineRule="atLeast"/>
        <w:ind w:left="0" w:firstLine="0"/>
        <w:rPr>
          <w:rFonts w:hint="eastAsia" w:ascii="微软雅黑" w:hAnsi="微软雅黑" w:eastAsia="微软雅黑" w:cs="微软雅黑"/>
        </w:rPr>
      </w:pPr>
      <w:r>
        <w:rPr>
          <w:rFonts w:hint="eastAsia" w:ascii="微软雅黑" w:hAnsi="微软雅黑" w:eastAsia="微软雅黑" w:cs="微软雅黑"/>
        </w:rPr>
        <w:t>服务版本号</w:t>
      </w:r>
    </w:p>
    <w:p>
      <w:pPr>
        <w:spacing w:before="156" w:beforeLines="50" w:after="156" w:afterLines="50" w:line="0" w:lineRule="atLeast"/>
        <w:rPr>
          <w:rFonts w:hint="eastAsia"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hint="eastAsia" w:ascii="微软雅黑" w:hAnsi="微软雅黑" w:eastAsia="微软雅黑" w:cs="微软雅黑"/>
        </w:rPr>
      </w:pPr>
      <w:r>
        <w:rPr>
          <w:rFonts w:hint="eastAsia" w:ascii="微软雅黑" w:hAnsi="微软雅黑" w:eastAsia="微软雅黑" w:cs="微软雅黑"/>
        </w:rPr>
        <w:t>请求业务参数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43"/>
        <w:gridCol w:w="1134"/>
        <w:gridCol w:w="992"/>
        <w:gridCol w:w="992"/>
        <w:gridCol w:w="21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参数</w:t>
            </w:r>
          </w:p>
        </w:tc>
        <w:tc>
          <w:tcPr>
            <w:tcW w:w="1843"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类型</w:t>
            </w: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长度</w:t>
            </w: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必填</w:t>
            </w:r>
          </w:p>
        </w:tc>
        <w:tc>
          <w:tcPr>
            <w:tcW w:w="2127"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billBatchCode</w:t>
            </w:r>
          </w:p>
        </w:tc>
        <w:tc>
          <w:tcPr>
            <w:tcW w:w="1843"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电子票据代码</w:t>
            </w:r>
          </w:p>
        </w:tc>
        <w:tc>
          <w:tcPr>
            <w:tcW w:w="1134"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50</w:t>
            </w:r>
          </w:p>
        </w:tc>
        <w:tc>
          <w:tcPr>
            <w:tcW w:w="992"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hint="eastAsia"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billNo</w:t>
            </w:r>
          </w:p>
        </w:tc>
        <w:tc>
          <w:tcPr>
            <w:tcW w:w="1843"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电子票据号</w:t>
            </w:r>
          </w:p>
        </w:tc>
        <w:tc>
          <w:tcPr>
            <w:tcW w:w="1134"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20</w:t>
            </w:r>
          </w:p>
        </w:tc>
        <w:tc>
          <w:tcPr>
            <w:tcW w:w="992"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center"/>
          </w:tcPr>
          <w:p>
            <w:pPr>
              <w:spacing w:before="156" w:beforeLines="50" w:after="156" w:afterLines="50" w:line="0" w:lineRule="atLeast"/>
              <w:rPr>
                <w:rFonts w:hint="eastAsia"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printTime</w:t>
            </w:r>
          </w:p>
        </w:tc>
        <w:tc>
          <w:tcPr>
            <w:tcW w:w="1843"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打印时间</w:t>
            </w:r>
          </w:p>
        </w:tc>
        <w:tc>
          <w:tcPr>
            <w:tcW w:w="113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String</w:t>
            </w: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17</w:t>
            </w: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格式:yyyyMMddHHmmssSSS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printType</w:t>
            </w:r>
          </w:p>
        </w:tc>
        <w:tc>
          <w:tcPr>
            <w:tcW w:w="1843"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打印类型</w:t>
            </w:r>
          </w:p>
        </w:tc>
        <w:tc>
          <w:tcPr>
            <w:tcW w:w="113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Number</w:t>
            </w: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p>
        </w:tc>
        <w:tc>
          <w:tcPr>
            <w:tcW w:w="99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127" w:type="dxa"/>
            <w:vAlign w:val="bottom"/>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0：打印电子票</w:t>
            </w:r>
          </w:p>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1：打印清单</w:t>
            </w:r>
          </w:p>
        </w:tc>
      </w:tr>
    </w:tbl>
    <w:p>
      <w:pPr>
        <w:pStyle w:val="6"/>
        <w:spacing w:before="156" w:beforeLines="50" w:after="156" w:afterLines="50" w:line="0" w:lineRule="atLeast"/>
        <w:ind w:left="0" w:firstLine="0"/>
        <w:rPr>
          <w:rFonts w:hint="eastAsia" w:ascii="微软雅黑" w:hAnsi="微软雅黑" w:eastAsia="微软雅黑" w:cs="微软雅黑"/>
        </w:rPr>
      </w:pPr>
      <w:r>
        <w:rPr>
          <w:rFonts w:hint="eastAsia" w:ascii="微软雅黑" w:hAnsi="微软雅黑" w:eastAsia="微软雅黑" w:cs="微软雅黑"/>
        </w:rPr>
        <w:t>返回结果参数</w:t>
      </w:r>
    </w:p>
    <w:tbl>
      <w:tblPr>
        <w:tblStyle w:val="35"/>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必填</w:t>
            </w:r>
          </w:p>
        </w:tc>
        <w:tc>
          <w:tcPr>
            <w:tcW w:w="2220"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hint="eastAsia" w:ascii="微软雅黑" w:hAnsi="微软雅黑" w:eastAsia="微软雅黑" w:cs="微软雅黑"/>
                <w:szCs w:val="21"/>
              </w:rPr>
            </w:pPr>
            <w:r>
              <w:rPr>
                <w:rFonts w:hint="eastAsia" w:ascii="微软雅黑" w:hAnsi="微软雅黑" w:eastAsia="微软雅黑" w:cs="微软雅黑"/>
                <w:szCs w:val="21"/>
              </w:rPr>
              <w:t>是</w:t>
            </w:r>
          </w:p>
        </w:tc>
        <w:tc>
          <w:tcPr>
            <w:tcW w:w="2220" w:type="dxa"/>
            <w:vAlign w:val="center"/>
          </w:tcPr>
          <w:p>
            <w:pPr>
              <w:spacing w:before="156" w:beforeLines="50" w:after="156" w:afterLines="50" w:line="0" w:lineRule="atLeast"/>
              <w:rPr>
                <w:rFonts w:hint="eastAsia" w:ascii="微软雅黑" w:hAnsi="微软雅黑" w:eastAsia="微软雅黑" w:cs="微软雅黑"/>
                <w:szCs w:val="21"/>
              </w:rPr>
            </w:pPr>
          </w:p>
        </w:tc>
      </w:tr>
    </w:tbl>
    <w:p>
      <w:pPr>
        <w:pStyle w:val="4"/>
        <w:spacing w:before="156" w:beforeLines="50" w:after="156" w:afterLines="50" w:line="0" w:lineRule="atLeast"/>
        <w:ind w:left="0" w:firstLine="0"/>
        <w:rPr>
          <w:rFonts w:ascii="微软雅黑" w:hAnsi="微软雅黑" w:eastAsia="微软雅黑" w:cs="微软雅黑"/>
        </w:rPr>
      </w:pPr>
      <w:bookmarkStart w:id="219" w:name="_Toc31227"/>
      <w:r>
        <w:rPr>
          <w:rFonts w:hint="eastAsia" w:ascii="微软雅黑" w:hAnsi="微软雅黑" w:eastAsia="微软雅黑" w:cs="微软雅黑"/>
        </w:rPr>
        <w:t>财务核对</w:t>
      </w:r>
      <w:bookmarkEnd w:id="217"/>
      <w:bookmarkEnd w:id="219"/>
    </w:p>
    <w:bookmarkEnd w:id="218"/>
    <w:p>
      <w:pPr>
        <w:pStyle w:val="5"/>
        <w:spacing w:before="156" w:beforeLines="50" w:after="156" w:afterLines="50" w:line="0" w:lineRule="atLeast"/>
        <w:ind w:left="0" w:firstLine="0"/>
        <w:rPr>
          <w:rFonts w:ascii="微软雅黑" w:hAnsi="微软雅黑" w:eastAsia="微软雅黑" w:cs="微软雅黑"/>
        </w:rPr>
      </w:pPr>
      <w:bookmarkStart w:id="220" w:name="_Toc31034"/>
      <w:bookmarkStart w:id="221" w:name="_Toc13232"/>
      <w:r>
        <w:rPr>
          <w:rFonts w:hint="eastAsia" w:ascii="微软雅黑" w:hAnsi="微软雅黑" w:eastAsia="微软雅黑" w:cs="微软雅黑"/>
        </w:rPr>
        <w:t>数据核对</w:t>
      </w:r>
      <w:bookmarkEnd w:id="220"/>
      <w:bookmarkEnd w:id="221"/>
      <w:bookmarkStart w:id="222" w:name="_总笔数核对接口_1"/>
      <w:bookmarkEnd w:id="222"/>
    </w:p>
    <w:p>
      <w:pPr>
        <w:pStyle w:val="6"/>
        <w:spacing w:before="156" w:beforeLines="50" w:after="156" w:afterLines="50" w:line="0" w:lineRule="atLeast"/>
        <w:ind w:left="0" w:firstLine="0"/>
        <w:rPr>
          <w:rFonts w:ascii="微软雅黑" w:hAnsi="微软雅黑" w:eastAsia="微软雅黑" w:cs="微软雅黑"/>
        </w:rPr>
      </w:pPr>
      <w:bookmarkStart w:id="223" w:name="_接收业务开票信息接口"/>
      <w:r>
        <w:rPr>
          <w:rFonts w:hint="eastAsia" w:ascii="微软雅黑" w:hAnsi="微软雅黑" w:eastAsia="微软雅黑" w:cs="微软雅黑"/>
        </w:rPr>
        <w:t>接收业务开票信息接口</w:t>
      </w:r>
    </w:p>
    <w:bookmarkEnd w:id="223"/>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lang w:bidi="ar"/>
        </w:rPr>
        <w:t>业务系统根据业务发生时间范围，汇总所有开票信息，</w:t>
      </w:r>
      <w:r>
        <w:rPr>
          <w:rFonts w:hint="eastAsia" w:ascii="微软雅黑" w:hAnsi="微软雅黑" w:eastAsia="微软雅黑" w:cs="微软雅黑"/>
        </w:rPr>
        <w:t>向医疗电子票据管理平台发起接收业务开票信息请求，传入电子票据明细数据，由医疗电子票据管理平台保存明细数据，通过平台界面或调试完成明细数据核对。</w:t>
      </w:r>
    </w:p>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服务标识 receiveBusBillDataCheck</w:t>
      </w:r>
    </w:p>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服务版本号</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请求业务参数</w:t>
      </w:r>
    </w:p>
    <w:tbl>
      <w:tblPr>
        <w:tblStyle w:val="35"/>
        <w:tblW w:w="90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09"/>
        <w:gridCol w:w="1843"/>
        <w:gridCol w:w="1359"/>
        <w:gridCol w:w="767"/>
        <w:gridCol w:w="993"/>
        <w:gridCol w:w="2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84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359"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767"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93"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4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billNoList</w:t>
            </w:r>
          </w:p>
        </w:tc>
        <w:tc>
          <w:tcPr>
            <w:tcW w:w="184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票据明细列表</w:t>
            </w:r>
          </w:p>
        </w:tc>
        <w:tc>
          <w:tcPr>
            <w:tcW w:w="1359"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 w:val="21"/>
                <w:szCs w:val="20"/>
              </w:rPr>
              <w:t>JSONArray</w:t>
            </w:r>
          </w:p>
        </w:tc>
        <w:tc>
          <w:tcPr>
            <w:tcW w:w="767"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93"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4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b/>
                <w:bCs/>
                <w:sz w:val="21"/>
                <w:szCs w:val="21"/>
                <w:lang w:bidi="ar"/>
              </w:rPr>
              <w:t>详见A-1,JSON格式</w:t>
            </w:r>
          </w:p>
        </w:tc>
      </w:tr>
    </w:tbl>
    <w:p>
      <w:pPr>
        <w:spacing w:before="156" w:beforeLines="50" w:after="156" w:afterLines="50" w:line="0" w:lineRule="atLeast"/>
        <w:rPr>
          <w:rFonts w:ascii="微软雅黑" w:hAnsi="微软雅黑" w:eastAsia="微软雅黑" w:cs="微软雅黑"/>
          <w:b/>
          <w:bCs/>
          <w:szCs w:val="21"/>
        </w:rPr>
      </w:pPr>
      <w:r>
        <w:rPr>
          <w:rFonts w:hint="eastAsia" w:ascii="微软雅黑" w:hAnsi="微软雅黑" w:eastAsia="微软雅黑" w:cs="微软雅黑"/>
          <w:b/>
          <w:bCs/>
          <w:szCs w:val="21"/>
        </w:rPr>
        <w:t>A-1 票号段明细列表billNoList-&gt;JSONObject类型</w:t>
      </w:r>
    </w:p>
    <w:tbl>
      <w:tblPr>
        <w:tblStyle w:val="35"/>
        <w:tblW w:w="938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776"/>
        <w:gridCol w:w="1245"/>
        <w:gridCol w:w="870"/>
        <w:gridCol w:w="900"/>
        <w:gridCol w:w="29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776"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24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87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0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92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placeCode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开票点编码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50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busDateTime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业务时间</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17</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格式:</w:t>
            </w:r>
          </w:p>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busNo</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业务流水号</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50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billBatchCode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票据代码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50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未收到开票返回或开票未成功将无此数据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billNo</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票据号码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20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未收到开票返回或开票未成功将无此数据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random</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校验码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20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未收到开票返回或开票未成功将无此数据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totalAmt</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总金额</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Number</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14,2</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ivcDateTime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开票时间</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17</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未收到开票返回或开票未成功将无此数据，如果是开票成功则需传该值</w:t>
            </w:r>
          </w:p>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格式：yyyyMMddHHmmssSSS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dataType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数据类型</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1 正常电子、2 电子红票、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payer</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交款人</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20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是</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relateBillBatchCode</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关联冲红电子票据代码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50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relateBillNo</w:t>
            </w:r>
          </w:p>
        </w:tc>
        <w:tc>
          <w:tcPr>
            <w:tcW w:w="1776"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关联冲红电子票据号码</w:t>
            </w:r>
          </w:p>
        </w:tc>
        <w:tc>
          <w:tcPr>
            <w:tcW w:w="1245"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String</w:t>
            </w:r>
          </w:p>
        </w:tc>
        <w:tc>
          <w:tcPr>
            <w:tcW w:w="87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20</w:t>
            </w:r>
          </w:p>
        </w:tc>
        <w:tc>
          <w:tcPr>
            <w:tcW w:w="900" w:type="dxa"/>
            <w:vAlign w:val="center"/>
          </w:tcPr>
          <w:p>
            <w:pPr>
              <w:spacing w:before="156" w:beforeLines="50" w:after="156" w:afterLines="50" w:line="0" w:lineRule="atLeast"/>
              <w:jc w:val="both"/>
              <w:rPr>
                <w:rFonts w:ascii="微软雅黑" w:hAnsi="微软雅黑" w:eastAsia="微软雅黑" w:cs="微软雅黑"/>
                <w:szCs w:val="21"/>
              </w:rPr>
            </w:pPr>
            <w:r>
              <w:rPr>
                <w:rFonts w:hint="eastAsia" w:ascii="微软雅黑" w:hAnsi="微软雅黑" w:eastAsia="微软雅黑" w:cs="微软雅黑"/>
                <w:szCs w:val="21"/>
              </w:rPr>
              <w:t>否</w:t>
            </w:r>
          </w:p>
        </w:tc>
        <w:tc>
          <w:tcPr>
            <w:tcW w:w="2925" w:type="dxa"/>
            <w:vAlign w:val="center"/>
          </w:tcPr>
          <w:p>
            <w:pPr>
              <w:spacing w:before="156" w:beforeLines="50" w:after="156" w:afterLines="50" w:line="0" w:lineRule="atLeast"/>
              <w:jc w:val="both"/>
              <w:rPr>
                <w:rFonts w:ascii="微软雅黑" w:hAnsi="微软雅黑" w:eastAsia="微软雅黑" w:cs="微软雅黑"/>
                <w:szCs w:val="21"/>
              </w:rPr>
            </w:pPr>
          </w:p>
        </w:tc>
      </w:tr>
    </w:tbl>
    <w:p>
      <w:pPr>
        <w:pStyle w:val="7"/>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返回结果参数</w:t>
      </w:r>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1005"/>
        <w:gridCol w:w="21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175"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100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175"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4"/>
        <w:spacing w:before="156" w:beforeLines="50" w:after="156" w:afterLines="50" w:line="0" w:lineRule="atLeast"/>
        <w:ind w:left="0" w:firstLine="0"/>
        <w:rPr>
          <w:rFonts w:ascii="微软雅黑" w:hAnsi="微软雅黑" w:eastAsia="微软雅黑" w:cs="微软雅黑"/>
        </w:rPr>
      </w:pPr>
      <w:bookmarkStart w:id="224" w:name="_Toc29076"/>
      <w:bookmarkStart w:id="225" w:name="_Toc2519"/>
      <w:r>
        <w:rPr>
          <w:rFonts w:hint="eastAsia" w:ascii="微软雅黑" w:hAnsi="微软雅黑" w:eastAsia="微软雅黑" w:cs="微软雅黑"/>
        </w:rPr>
        <w:t>其它</w:t>
      </w:r>
      <w:bookmarkEnd w:id="224"/>
      <w:bookmarkEnd w:id="225"/>
    </w:p>
    <w:p>
      <w:pPr>
        <w:pStyle w:val="5"/>
        <w:spacing w:before="156" w:beforeLines="50" w:after="156" w:afterLines="50" w:line="0" w:lineRule="atLeast"/>
        <w:ind w:left="0" w:firstLine="0"/>
        <w:rPr>
          <w:rFonts w:ascii="微软雅黑" w:hAnsi="微软雅黑" w:eastAsia="微软雅黑" w:cs="微软雅黑"/>
        </w:rPr>
      </w:pPr>
      <w:bookmarkStart w:id="226" w:name="_Toc3020"/>
      <w:bookmarkStart w:id="227" w:name="_服务端连接测试接口"/>
      <w:bookmarkStart w:id="228" w:name="_Toc15552"/>
      <w:r>
        <w:rPr>
          <w:rFonts w:hint="eastAsia" w:ascii="微软雅黑" w:hAnsi="微软雅黑" w:eastAsia="微软雅黑" w:cs="微软雅黑"/>
        </w:rPr>
        <w:t>服务端连接测试接口</w:t>
      </w:r>
      <w:bookmarkEnd w:id="226"/>
      <w:bookmarkEnd w:id="227"/>
      <w:bookmarkEnd w:id="228"/>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业务系统调用该接口，测试</w:t>
      </w:r>
      <w:r>
        <w:rPr>
          <w:rFonts w:hint="eastAsia" w:ascii="微软雅黑" w:hAnsi="微软雅黑" w:eastAsia="微软雅黑" w:cs="微软雅黑"/>
          <w:color w:val="000000"/>
        </w:rPr>
        <w:t>服务端成功。</w:t>
      </w:r>
    </w:p>
    <w:p>
      <w:pPr>
        <w:pStyle w:val="6"/>
        <w:spacing w:before="156" w:beforeLines="50" w:after="156" w:afterLines="50" w:line="0" w:lineRule="atLeast"/>
        <w:ind w:left="0" w:firstLine="0"/>
        <w:rPr>
          <w:rFonts w:ascii="微软雅黑" w:hAnsi="微软雅黑" w:eastAsia="微软雅黑" w:cs="微软雅黑"/>
        </w:rPr>
      </w:pPr>
      <w:bookmarkStart w:id="229" w:name="_Toc19101"/>
      <w:r>
        <w:rPr>
          <w:rFonts w:hint="eastAsia" w:ascii="微软雅黑" w:hAnsi="微软雅黑" w:eastAsia="微软雅黑" w:cs="微软雅黑"/>
        </w:rPr>
        <w:t xml:space="preserve">服务标识 </w:t>
      </w:r>
      <w:bookmarkStart w:id="230" w:name="OLE_LINK60"/>
      <w:r>
        <w:rPr>
          <w:rFonts w:hint="eastAsia" w:ascii="微软雅黑" w:hAnsi="微软雅黑" w:eastAsia="微软雅黑" w:cs="微软雅黑"/>
          <w:sz w:val="22"/>
          <w:lang w:bidi="ar"/>
        </w:rPr>
        <w:t>testServerConnect</w:t>
      </w:r>
      <w:bookmarkEnd w:id="229"/>
      <w:bookmarkEnd w:id="230"/>
    </w:p>
    <w:p>
      <w:pPr>
        <w:pStyle w:val="6"/>
        <w:spacing w:before="156" w:beforeLines="50" w:after="156" w:afterLines="50" w:line="0" w:lineRule="atLeast"/>
        <w:ind w:left="0" w:firstLine="0"/>
        <w:rPr>
          <w:rFonts w:ascii="微软雅黑" w:hAnsi="微软雅黑" w:eastAsia="微软雅黑" w:cs="微软雅黑"/>
        </w:rPr>
      </w:pPr>
      <w:bookmarkStart w:id="231" w:name="_Toc19887"/>
      <w:r>
        <w:rPr>
          <w:rFonts w:hint="eastAsia" w:ascii="微软雅黑" w:hAnsi="微软雅黑" w:eastAsia="微软雅黑" w:cs="微软雅黑"/>
        </w:rPr>
        <w:t>服务版本号</w:t>
      </w:r>
      <w:bookmarkEnd w:id="231"/>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请求参数中version=1.0</w:t>
      </w:r>
    </w:p>
    <w:p>
      <w:pPr>
        <w:pStyle w:val="6"/>
        <w:spacing w:before="156" w:beforeLines="50" w:after="156" w:afterLines="50" w:line="0" w:lineRule="atLeast"/>
        <w:ind w:left="0" w:firstLine="0"/>
        <w:rPr>
          <w:rFonts w:ascii="微软雅黑" w:hAnsi="微软雅黑" w:eastAsia="微软雅黑" w:cs="微软雅黑"/>
        </w:rPr>
      </w:pPr>
      <w:bookmarkStart w:id="232" w:name="_Toc3611"/>
      <w:r>
        <w:rPr>
          <w:rFonts w:hint="eastAsia" w:ascii="微软雅黑" w:hAnsi="微软雅黑" w:eastAsia="微软雅黑" w:cs="微软雅黑"/>
        </w:rPr>
        <w:t>请求业务参数</w:t>
      </w:r>
      <w:bookmarkEnd w:id="232"/>
    </w:p>
    <w:tbl>
      <w:tblPr>
        <w:tblStyle w:val="35"/>
        <w:tblW w:w="90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34"/>
        <w:gridCol w:w="983"/>
        <w:gridCol w:w="1002"/>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属性</w:t>
            </w:r>
          </w:p>
        </w:tc>
        <w:tc>
          <w:tcPr>
            <w:tcW w:w="198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34"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83"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1002"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30" w:type="dxa"/>
            <w:vAlign w:val="bottom"/>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color w:val="0000FF"/>
                <w:szCs w:val="21"/>
              </w:rPr>
            </w:pPr>
            <w:bookmarkStart w:id="233" w:name="OLE_LINK61"/>
            <w:r>
              <w:rPr>
                <w:rFonts w:hint="eastAsia" w:ascii="微软雅黑" w:hAnsi="微软雅黑" w:eastAsia="微软雅黑" w:cs="微软雅黑"/>
                <w:szCs w:val="21"/>
              </w:rPr>
              <w:t>testValue</w:t>
            </w:r>
            <w:bookmarkEnd w:id="233"/>
          </w:p>
        </w:tc>
        <w:tc>
          <w:tcPr>
            <w:tcW w:w="1984" w:type="dxa"/>
            <w:vAlign w:val="center"/>
          </w:tcPr>
          <w:p>
            <w:pPr>
              <w:spacing w:before="156" w:beforeLines="50" w:after="156" w:afterLines="50" w:line="0" w:lineRule="atLeast"/>
              <w:rPr>
                <w:rFonts w:ascii="微软雅黑" w:hAnsi="微软雅黑" w:eastAsia="微软雅黑" w:cs="微软雅黑"/>
                <w:color w:val="0000FF"/>
                <w:szCs w:val="21"/>
              </w:rPr>
            </w:pPr>
            <w:bookmarkStart w:id="234" w:name="OLE_LINK63"/>
            <w:r>
              <w:rPr>
                <w:rFonts w:hint="eastAsia" w:ascii="微软雅黑" w:hAnsi="微软雅黑" w:eastAsia="微软雅黑" w:cs="微软雅黑"/>
                <w:szCs w:val="21"/>
              </w:rPr>
              <w:t>测试参数</w:t>
            </w:r>
            <w:bookmarkEnd w:id="234"/>
          </w:p>
        </w:tc>
        <w:tc>
          <w:tcPr>
            <w:tcW w:w="1134"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String</w:t>
            </w:r>
          </w:p>
        </w:tc>
        <w:tc>
          <w:tcPr>
            <w:tcW w:w="983"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50</w:t>
            </w:r>
          </w:p>
        </w:tc>
        <w:tc>
          <w:tcPr>
            <w:tcW w:w="1002"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szCs w:val="21"/>
              </w:rPr>
              <w:t>是</w:t>
            </w:r>
          </w:p>
        </w:tc>
        <w:tc>
          <w:tcPr>
            <w:tcW w:w="2230" w:type="dxa"/>
            <w:vAlign w:val="center"/>
          </w:tcPr>
          <w:p>
            <w:pPr>
              <w:spacing w:before="156" w:beforeLines="50" w:after="156" w:afterLines="50" w:line="0" w:lineRule="atLeast"/>
              <w:rPr>
                <w:rFonts w:ascii="微软雅黑" w:hAnsi="微软雅黑" w:eastAsia="微软雅黑" w:cs="微软雅黑"/>
                <w:color w:val="0000FF"/>
                <w:szCs w:val="21"/>
              </w:rPr>
            </w:pPr>
            <w:r>
              <w:rPr>
                <w:rFonts w:hint="eastAsia" w:ascii="微软雅黑" w:hAnsi="微软雅黑" w:eastAsia="微软雅黑" w:cs="微软雅黑"/>
                <w:color w:val="0000FF"/>
                <w:szCs w:val="21"/>
              </w:rPr>
              <w:t>随意填写内容</w:t>
            </w:r>
          </w:p>
        </w:tc>
      </w:tr>
    </w:tbl>
    <w:p>
      <w:pPr>
        <w:pStyle w:val="6"/>
        <w:spacing w:before="156" w:beforeLines="50" w:after="156" w:afterLines="50" w:line="0" w:lineRule="atLeast"/>
        <w:ind w:left="0" w:firstLine="0"/>
        <w:rPr>
          <w:rFonts w:ascii="微软雅黑" w:hAnsi="微软雅黑" w:eastAsia="微软雅黑" w:cs="微软雅黑"/>
        </w:rPr>
      </w:pPr>
      <w:bookmarkStart w:id="235" w:name="_Toc5982"/>
      <w:r>
        <w:rPr>
          <w:rFonts w:hint="eastAsia" w:ascii="微软雅黑" w:hAnsi="微软雅黑" w:eastAsia="微软雅黑" w:cs="微软雅黑"/>
        </w:rPr>
        <w:t>返回结果参数</w:t>
      </w:r>
      <w:bookmarkEnd w:id="235"/>
    </w:p>
    <w:tbl>
      <w:tblPr>
        <w:tblStyle w:val="35"/>
        <w:tblW w:w="89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1984"/>
        <w:gridCol w:w="1172"/>
        <w:gridCol w:w="990"/>
        <w:gridCol w:w="900"/>
        <w:gridCol w:w="2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trPr>
        <w:tc>
          <w:tcPr>
            <w:tcW w:w="1668"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参数</w:t>
            </w:r>
          </w:p>
        </w:tc>
        <w:tc>
          <w:tcPr>
            <w:tcW w:w="1984"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描述</w:t>
            </w:r>
          </w:p>
        </w:tc>
        <w:tc>
          <w:tcPr>
            <w:tcW w:w="1172"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类型</w:t>
            </w:r>
          </w:p>
        </w:tc>
        <w:tc>
          <w:tcPr>
            <w:tcW w:w="99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长度</w:t>
            </w:r>
          </w:p>
        </w:tc>
        <w:tc>
          <w:tcPr>
            <w:tcW w:w="90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必填</w:t>
            </w:r>
          </w:p>
        </w:tc>
        <w:tc>
          <w:tcPr>
            <w:tcW w:w="2280" w:type="dxa"/>
            <w:vAlign w:val="center"/>
          </w:tcPr>
          <w:p>
            <w:pPr>
              <w:spacing w:before="156" w:beforeLines="50" w:after="156" w:afterLines="50" w:line="0" w:lineRule="atLeast"/>
              <w:jc w:val="center"/>
              <w:rPr>
                <w:rFonts w:ascii="微软雅黑" w:hAnsi="微软雅黑" w:eastAsia="微软雅黑" w:cs="微软雅黑"/>
                <w:szCs w:val="21"/>
              </w:rPr>
            </w:pPr>
            <w:r>
              <w:rPr>
                <w:rFonts w:hint="eastAsia" w:ascii="微软雅黑" w:hAnsi="微软雅黑" w:eastAsia="微软雅黑" w:cs="微软雅黑"/>
                <w:szCs w:val="21"/>
              </w:rPr>
              <w:t>补充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result</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返回结果标识</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10</w:t>
            </w:r>
          </w:p>
        </w:tc>
        <w:tc>
          <w:tcPr>
            <w:tcW w:w="9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message</w:t>
            </w:r>
          </w:p>
        </w:tc>
        <w:tc>
          <w:tcPr>
            <w:tcW w:w="1984"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返回结果内容</w:t>
            </w:r>
          </w:p>
        </w:tc>
        <w:tc>
          <w:tcPr>
            <w:tcW w:w="1172"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String</w:t>
            </w:r>
          </w:p>
        </w:tc>
        <w:tc>
          <w:tcPr>
            <w:tcW w:w="99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不限</w:t>
            </w:r>
          </w:p>
        </w:tc>
        <w:tc>
          <w:tcPr>
            <w:tcW w:w="90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szCs w:val="21"/>
              </w:rPr>
              <w:t>是</w:t>
            </w:r>
          </w:p>
        </w:tc>
        <w:tc>
          <w:tcPr>
            <w:tcW w:w="2280" w:type="dxa"/>
            <w:vAlign w:val="center"/>
          </w:tcPr>
          <w:p>
            <w:pPr>
              <w:spacing w:before="156" w:beforeLines="50" w:after="156" w:afterLines="50" w:line="0" w:lineRule="atLeast"/>
              <w:rPr>
                <w:rFonts w:ascii="微软雅黑" w:hAnsi="微软雅黑" w:eastAsia="微软雅黑" w:cs="微软雅黑"/>
                <w:szCs w:val="21"/>
              </w:rPr>
            </w:pPr>
            <w:r>
              <w:rPr>
                <w:rFonts w:hint="eastAsia" w:ascii="微软雅黑" w:hAnsi="微软雅黑" w:eastAsia="微软雅黑" w:cs="微软雅黑"/>
                <w:color w:val="000000"/>
              </w:rPr>
              <w:t>BASE64</w:t>
            </w:r>
            <w:r>
              <w:rPr>
                <w:rFonts w:hint="eastAsia" w:ascii="微软雅黑" w:hAnsi="微软雅黑" w:eastAsia="微软雅黑" w:cs="微软雅黑"/>
              </w:rPr>
              <w:t>(成功信息)</w:t>
            </w:r>
          </w:p>
        </w:tc>
      </w:tr>
    </w:tbl>
    <w:p>
      <w:pPr>
        <w:pStyle w:val="6"/>
        <w:spacing w:before="156" w:beforeLines="50" w:after="156" w:afterLines="50" w:line="0" w:lineRule="atLeast"/>
        <w:ind w:left="0" w:firstLine="0"/>
        <w:rPr>
          <w:rFonts w:ascii="微软雅黑" w:hAnsi="微软雅黑" w:eastAsia="微软雅黑" w:cs="微软雅黑"/>
        </w:rPr>
      </w:pPr>
      <w:bookmarkStart w:id="236" w:name="_Toc26032"/>
      <w:r>
        <w:rPr>
          <w:rFonts w:hint="eastAsia" w:ascii="微软雅黑" w:hAnsi="微软雅黑" w:eastAsia="微软雅黑" w:cs="微软雅黑"/>
        </w:rPr>
        <w:t>参数示例</w:t>
      </w:r>
      <w:bookmarkEnd w:id="236"/>
    </w:p>
    <w:p>
      <w:pPr>
        <w:numPr>
          <w:ilvl w:val="0"/>
          <w:numId w:val="15"/>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请求参数</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"testValue": "测试参数"</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numPr>
          <w:ilvl w:val="0"/>
          <w:numId w:val="15"/>
        </w:numPr>
        <w:spacing w:before="156" w:beforeLines="50" w:after="156" w:afterLines="50" w:line="0" w:lineRule="atLeast"/>
        <w:ind w:left="0" w:firstLine="0"/>
        <w:rPr>
          <w:rFonts w:ascii="微软雅黑" w:hAnsi="微软雅黑" w:eastAsia="微软雅黑" w:cs="微软雅黑"/>
        </w:rPr>
      </w:pPr>
      <w:r>
        <w:rPr>
          <w:rFonts w:hint="eastAsia" w:ascii="微软雅黑" w:hAnsi="微软雅黑" w:eastAsia="微软雅黑" w:cs="微软雅黑"/>
        </w:rPr>
        <w:t>返回参数</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成功</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ab/>
      </w:r>
      <w:r>
        <w:rPr>
          <w:rFonts w:hint="eastAsia" w:ascii="微软雅黑" w:hAnsi="微软雅黑" w:eastAsia="微软雅黑" w:cs="微软雅黑"/>
        </w:rPr>
        <w:t>"result": "S0000",</w:t>
      </w:r>
    </w:p>
    <w:p>
      <w:pPr>
        <w:spacing w:before="156" w:beforeLines="50" w:after="156" w:afterLines="50" w:line="0" w:lineRule="atLeast"/>
        <w:ind w:firstLine="420"/>
        <w:rPr>
          <w:rFonts w:ascii="微软雅黑" w:hAnsi="微软雅黑" w:eastAsia="微软雅黑" w:cs="微软雅黑"/>
        </w:rPr>
      </w:pPr>
      <w:r>
        <w:rPr>
          <w:rFonts w:hint="eastAsia" w:ascii="微软雅黑" w:hAnsi="微软雅黑" w:eastAsia="微软雅黑" w:cs="微软雅黑"/>
        </w:rPr>
        <w:t>"message": "成功"</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失败</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"result": "E0002",</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ab/>
      </w:r>
      <w:r>
        <w:rPr>
          <w:rFonts w:hint="eastAsia" w:ascii="微软雅黑" w:hAnsi="微软雅黑" w:eastAsia="微软雅黑" w:cs="微软雅黑"/>
        </w:rPr>
        <w:t>"message":</w:t>
      </w:r>
      <w:bookmarkStart w:id="237" w:name="OLE_LINK64"/>
      <w:r>
        <w:rPr>
          <w:rFonts w:hint="eastAsia" w:ascii="微软雅黑" w:hAnsi="微软雅黑" w:eastAsia="微软雅黑" w:cs="微软雅黑"/>
        </w:rPr>
        <w:t xml:space="preserve"> "错误"</w:t>
      </w:r>
      <w:bookmarkEnd w:id="237"/>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pStyle w:val="2"/>
        <w:spacing w:before="156" w:beforeLines="50" w:after="156" w:afterLines="50" w:line="0" w:lineRule="atLeast"/>
        <w:ind w:left="0" w:firstLine="0"/>
        <w:rPr>
          <w:rFonts w:ascii="微软雅黑" w:hAnsi="微软雅黑" w:eastAsia="微软雅黑" w:cs="微软雅黑"/>
        </w:rPr>
      </w:pPr>
      <w:bookmarkStart w:id="238" w:name="_Toc8023"/>
      <w:bookmarkStart w:id="239" w:name="_Toc491359841"/>
      <w:bookmarkStart w:id="240" w:name="_Toc1625"/>
      <w:r>
        <w:rPr>
          <w:rFonts w:hint="eastAsia" w:ascii="微软雅黑" w:hAnsi="微软雅黑" w:eastAsia="微软雅黑" w:cs="微软雅黑"/>
        </w:rPr>
        <w:t>调用步骤说明</w:t>
      </w:r>
      <w:bookmarkEnd w:id="238"/>
      <w:bookmarkEnd w:id="239"/>
      <w:bookmarkEnd w:id="240"/>
    </w:p>
    <w:p>
      <w:pPr>
        <w:pStyle w:val="4"/>
        <w:spacing w:before="156" w:beforeLines="50" w:after="156" w:afterLines="50" w:line="0" w:lineRule="atLeast"/>
        <w:ind w:left="0" w:firstLine="0"/>
        <w:rPr>
          <w:rFonts w:ascii="微软雅黑" w:hAnsi="微软雅黑" w:eastAsia="微软雅黑" w:cs="微软雅黑"/>
        </w:rPr>
      </w:pPr>
      <w:bookmarkStart w:id="241" w:name="_Toc7101"/>
      <w:bookmarkStart w:id="242" w:name="_Toc15164"/>
      <w:r>
        <w:rPr>
          <w:rFonts w:hint="eastAsia" w:ascii="微软雅黑" w:hAnsi="微软雅黑" w:eastAsia="微软雅黑" w:cs="微软雅黑"/>
        </w:rPr>
        <w:t>示例</w:t>
      </w:r>
      <w:bookmarkEnd w:id="241"/>
      <w:bookmarkEnd w:id="242"/>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详细示例见</w:t>
      </w:r>
      <w:r>
        <w:rPr>
          <w:rFonts w:hint="eastAsia" w:ascii="微软雅黑" w:hAnsi="微软雅黑" w:eastAsia="微软雅黑" w:cs="微软雅黑"/>
        </w:rPr>
        <w:object>
          <v:shape id="_x0000_i1025" o:spt="75" type="#_x0000_t75" style="height:66.25pt;width:72.6pt;" o:ole="t" filled="f" o:preferrelative="t" stroked="f" coordsize="21600,21600">
            <v:path/>
            <v:fill on="f" focussize="0,0"/>
            <v:stroke on="f" joinstyle="miter"/>
            <v:imagedata r:id="rId18" o:title=""/>
            <o:lock v:ext="edit" aspectratio="t"/>
            <w10:wrap type="none"/>
            <w10:anchorlock/>
          </v:shape>
          <o:OLEObject Type="Embed" ProgID="Word.Document.12" ShapeID="_x0000_i1025" DrawAspect="Icon" ObjectID="_1468075725" r:id="rId17">
            <o:LockedField>false</o:LockedField>
          </o:OLEObject>
        </w:object>
      </w:r>
      <w:bookmarkStart w:id="284" w:name="_GoBack"/>
      <w:bookmarkEnd w:id="284"/>
    </w:p>
    <w:p>
      <w:pPr>
        <w:pStyle w:val="2"/>
        <w:numPr>
          <w:ilvl w:val="0"/>
          <w:numId w:val="0"/>
        </w:numPr>
        <w:spacing w:before="156" w:beforeLines="50" w:after="156" w:afterLines="50" w:line="0" w:lineRule="atLeast"/>
        <w:rPr>
          <w:rFonts w:ascii="微软雅黑" w:hAnsi="微软雅黑" w:eastAsia="微软雅黑" w:cs="微软雅黑"/>
        </w:rPr>
      </w:pPr>
      <w:bookmarkStart w:id="243" w:name="_Toc9449"/>
      <w:bookmarkStart w:id="244" w:name="_Toc32126"/>
      <w:r>
        <w:rPr>
          <w:rFonts w:hint="eastAsia" w:ascii="微软雅黑" w:hAnsi="微软雅黑" w:eastAsia="微软雅黑" w:cs="微软雅黑"/>
        </w:rPr>
        <w:t>附录1：JSON说明</w:t>
      </w:r>
      <w:bookmarkEnd w:id="243"/>
      <w:bookmarkEnd w:id="244"/>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JSON(JavaScript Object Notation) 是一种轻量级的数据交换格式。易于人阅读和编</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写，同时也易于机器解析和生成。它基于JavaScript（Standard ECMA-262 3rd Edition -</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December 1999）的一个子集。JSON 采用完全独立于语言的文本格式，但是也使用了类似</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于C 语言家族的习惯（包括C, C++, C#, Java, JavaScript, Perl, Python 等）。这些特性</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使JSON 成为理想的数据交换语言。</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（1）JSON 构建的结构：</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1. “名称/值”对的集合（A collection of name/value pairs）。不同的语言中，它</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被理解为对象（object），记录（record），结构（struct），</w:t>
      </w:r>
      <w:r>
        <w:rPr>
          <w:rFonts w:hint="eastAsia" w:ascii="微软雅黑" w:hAnsi="微软雅黑" w:eastAsia="微软雅黑" w:cs="微软雅黑"/>
          <w:color w:val="0000FF"/>
          <w:szCs w:val="21"/>
        </w:rPr>
        <w:t>字典</w:t>
      </w:r>
      <w:r>
        <w:rPr>
          <w:rFonts w:hint="eastAsia" w:ascii="微软雅黑" w:hAnsi="微软雅黑" w:eastAsia="微软雅黑" w:cs="微软雅黑"/>
          <w:color w:val="000000"/>
          <w:szCs w:val="21"/>
        </w:rPr>
        <w:t>（dictionary），</w:t>
      </w:r>
      <w:r>
        <w:rPr>
          <w:rFonts w:hint="eastAsia" w:ascii="微软雅黑" w:hAnsi="微软雅黑" w:eastAsia="微软雅黑" w:cs="微软雅黑"/>
          <w:color w:val="0000FF"/>
          <w:szCs w:val="21"/>
        </w:rPr>
        <w:t>哈希表</w:t>
      </w:r>
      <w:r>
        <w:rPr>
          <w:rFonts w:hint="eastAsia" w:ascii="微软雅黑" w:hAnsi="微软雅黑" w:eastAsia="微软雅黑" w:cs="微软雅黑"/>
          <w:color w:val="000000"/>
          <w:szCs w:val="21"/>
        </w:rPr>
        <w:t>（h</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ash table），有键列表（keyed list），或者关联</w:t>
      </w:r>
      <w:r>
        <w:rPr>
          <w:rFonts w:hint="eastAsia" w:ascii="微软雅黑" w:hAnsi="微软雅黑" w:eastAsia="微软雅黑" w:cs="微软雅黑"/>
          <w:color w:val="0000FF"/>
          <w:szCs w:val="21"/>
        </w:rPr>
        <w:t>数组</w:t>
      </w:r>
      <w:r>
        <w:rPr>
          <w:rFonts w:hint="eastAsia" w:ascii="微软雅黑" w:hAnsi="微软雅黑" w:eastAsia="微软雅黑" w:cs="微软雅黑"/>
          <w:color w:val="000000"/>
          <w:szCs w:val="21"/>
        </w:rPr>
        <w:t>（associative array）。</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2. 值的有序列表（An ordered list of values）。在大部分语言中，它被理解为数组</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（array）。</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这些都是常见的</w:t>
      </w:r>
      <w:r>
        <w:rPr>
          <w:rFonts w:hint="eastAsia" w:ascii="微软雅黑" w:hAnsi="微软雅黑" w:eastAsia="微软雅黑" w:cs="微软雅黑"/>
          <w:color w:val="0000FF"/>
          <w:szCs w:val="21"/>
        </w:rPr>
        <w:t>数据结构</w:t>
      </w:r>
      <w:r>
        <w:rPr>
          <w:rFonts w:hint="eastAsia" w:ascii="微软雅黑" w:hAnsi="微软雅黑" w:eastAsia="微软雅黑" w:cs="微软雅黑"/>
          <w:color w:val="000000"/>
          <w:szCs w:val="21"/>
        </w:rPr>
        <w:t>。事实上大部分现代</w:t>
      </w:r>
      <w:r>
        <w:rPr>
          <w:rFonts w:hint="eastAsia" w:ascii="微软雅黑" w:hAnsi="微软雅黑" w:eastAsia="微软雅黑" w:cs="微软雅黑"/>
          <w:color w:val="0000FF"/>
          <w:szCs w:val="21"/>
        </w:rPr>
        <w:t>计算机</w:t>
      </w:r>
      <w:r>
        <w:rPr>
          <w:rFonts w:hint="eastAsia" w:ascii="微软雅黑" w:hAnsi="微软雅黑" w:eastAsia="微软雅黑" w:cs="微软雅黑"/>
          <w:color w:val="000000"/>
          <w:szCs w:val="21"/>
        </w:rPr>
        <w:t>语言都以某种形式支持它们。这使</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得一种数据格式在同样基于这些结构的</w:t>
      </w:r>
      <w:r>
        <w:rPr>
          <w:rFonts w:hint="eastAsia" w:ascii="微软雅黑" w:hAnsi="微软雅黑" w:eastAsia="微软雅黑" w:cs="微软雅黑"/>
          <w:color w:val="0000FF"/>
          <w:szCs w:val="21"/>
        </w:rPr>
        <w:t>编程</w:t>
      </w:r>
      <w:r>
        <w:rPr>
          <w:rFonts w:hint="eastAsia" w:ascii="微软雅黑" w:hAnsi="微软雅黑" w:eastAsia="微软雅黑" w:cs="微软雅黑"/>
          <w:color w:val="000000"/>
          <w:szCs w:val="21"/>
        </w:rPr>
        <w:t>语言之间交换成为可能。</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（2）JSON 的具体形式</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1、对象是一个无序的“‘名称/值’对”集合。一个对象以“{”（左括号）开始，“}”</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（右括号）结束。每个“名称”后跟一个“:”（冒号）；“‘名称/值’对”之间使用“,”</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（逗号）分隔。</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2、数组是值（value）的有序集合。一个数组以“[”（左中括号）开始，“]”（右中</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括号）结束。值之间使用“,”（逗号）分隔。</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3、值（value）可以是双引号括起来的字符串（string）、数值(number)、true、fals</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e、null、对象（object）或者数组（array）。这些结构可以嵌套。</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4、字符串（string）是由双引号包围的任意数量Unicode 字符的集合，使用反斜线转</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义。一个字符（character）即一个单独的字符串（character string）。字符串（string）</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与C 或者Java 的字符串非常相似。</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5、数值（number）也与C 或者Java 的数值非常相似。除去未曾使用的八进制与十六进制格式。除去一些编码细节。</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（3）JSON 实例：</w:t>
      </w:r>
    </w:p>
    <w:p>
      <w:pPr>
        <w:autoSpaceDE w:val="0"/>
        <w:autoSpaceDN w:val="0"/>
        <w:spacing w:before="156" w:beforeLines="50" w:after="156" w:afterLines="50" w:line="0" w:lineRule="atLeast"/>
        <w:rPr>
          <w:rFonts w:ascii="微软雅黑" w:hAnsi="微软雅黑" w:eastAsia="微软雅黑" w:cs="微软雅黑"/>
          <w:b/>
          <w:color w:val="000000"/>
          <w:szCs w:val="21"/>
        </w:rPr>
      </w:pPr>
      <w:r>
        <w:rPr>
          <w:rFonts w:hint="eastAsia" w:ascii="微软雅黑" w:hAnsi="微软雅黑" w:eastAsia="微软雅黑" w:cs="微软雅黑"/>
          <w:color w:val="000000"/>
          <w:szCs w:val="21"/>
        </w:rPr>
        <w:t>用JSON 表示</w:t>
      </w:r>
      <w:r>
        <w:rPr>
          <w:rFonts w:hint="eastAsia" w:ascii="微软雅黑" w:hAnsi="微软雅黑" w:eastAsia="微软雅黑" w:cs="微软雅黑"/>
          <w:color w:val="0000FF"/>
          <w:szCs w:val="21"/>
        </w:rPr>
        <w:t>中国</w:t>
      </w:r>
      <w:r>
        <w:rPr>
          <w:rFonts w:hint="eastAsia" w:ascii="微软雅黑" w:hAnsi="微软雅黑" w:eastAsia="微软雅黑" w:cs="微软雅黑"/>
          <w:color w:val="000000"/>
          <w:szCs w:val="21"/>
        </w:rPr>
        <w:t>部分省市数据如下：</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"name": "中国",</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"province":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"name": "黑龙江",</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"citys":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"哈尔滨",</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"大庆"</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"name": "广东",</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"citys":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"深圳",</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"珠海"</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"name": "台湾",</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"citys":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"台北",</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"高雄"</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"name": "新疆",</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"citys":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"city":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"乌鲁木齐"</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 xml:space="preserve">    ]</w:t>
      </w:r>
    </w:p>
    <w:p>
      <w:pPr>
        <w:spacing w:before="156" w:beforeLines="50" w:after="156" w:afterLines="50" w:line="0" w:lineRule="atLeast"/>
        <w:rPr>
          <w:rFonts w:ascii="微软雅黑" w:hAnsi="微软雅黑" w:eastAsia="微软雅黑" w:cs="微软雅黑"/>
          <w:color w:val="000000"/>
          <w:szCs w:val="21"/>
        </w:rPr>
      </w:pPr>
      <w:r>
        <w:rPr>
          <w:rFonts w:hint="eastAsia" w:ascii="微软雅黑" w:hAnsi="微软雅黑" w:eastAsia="微软雅黑" w:cs="微软雅黑"/>
          <w:color w:val="000000"/>
          <w:szCs w:val="21"/>
        </w:rPr>
        <w:t>}通过json的索引.province[0].name 就能够读取“黑龙江”这个值</w:t>
      </w:r>
    </w:p>
    <w:p>
      <w:pPr>
        <w:pStyle w:val="2"/>
        <w:numPr>
          <w:ilvl w:val="0"/>
          <w:numId w:val="0"/>
        </w:numPr>
        <w:spacing w:before="156" w:beforeLines="50" w:after="156" w:afterLines="50" w:line="0" w:lineRule="atLeast"/>
        <w:rPr>
          <w:rFonts w:ascii="微软雅黑" w:hAnsi="微软雅黑" w:eastAsia="微软雅黑" w:cs="微软雅黑"/>
        </w:rPr>
      </w:pPr>
      <w:bookmarkStart w:id="245" w:name="_Toc24318"/>
      <w:bookmarkStart w:id="246" w:name="_Toc4651"/>
      <w:r>
        <w:rPr>
          <w:rFonts w:hint="eastAsia" w:ascii="微软雅黑" w:hAnsi="微软雅黑" w:eastAsia="微软雅黑" w:cs="微软雅黑"/>
        </w:rPr>
        <w:t>附录2：数据格式</w:t>
      </w:r>
      <w:bookmarkEnd w:id="245"/>
      <w:bookmarkEnd w:id="246"/>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数字：分为Integer与Number，Integer为不定长度的整型数，Number是带小数或固定长度的数字。</w:t>
      </w:r>
    </w:p>
    <w:p>
      <w:pPr>
        <w:pStyle w:val="2"/>
        <w:numPr>
          <w:ilvl w:val="0"/>
          <w:numId w:val="0"/>
        </w:numPr>
        <w:spacing w:before="156" w:beforeLines="50" w:after="156" w:afterLines="50" w:line="0" w:lineRule="atLeast"/>
        <w:rPr>
          <w:rFonts w:ascii="微软雅黑" w:hAnsi="微软雅黑" w:eastAsia="微软雅黑" w:cs="微软雅黑"/>
        </w:rPr>
      </w:pPr>
      <w:bookmarkStart w:id="247" w:name="_附录3：通知类型列表"/>
      <w:bookmarkEnd w:id="247"/>
      <w:bookmarkStart w:id="248" w:name="_Toc1850"/>
      <w:bookmarkStart w:id="249" w:name="_Toc32225"/>
      <w:bookmarkStart w:id="250" w:name="_附录3：卡类型与证件类型列表"/>
      <w:bookmarkStart w:id="251" w:name="_附录4：卡类型列表"/>
      <w:bookmarkStart w:id="252" w:name="_附录3：卡类型列表"/>
      <w:r>
        <w:rPr>
          <w:rFonts w:hint="eastAsia" w:ascii="微软雅黑" w:hAnsi="微软雅黑" w:eastAsia="微软雅黑" w:cs="微软雅黑"/>
        </w:rPr>
        <w:t>附录3：卡类型与证件类型列表</w:t>
      </w:r>
      <w:bookmarkEnd w:id="248"/>
      <w:bookmarkEnd w:id="249"/>
    </w:p>
    <w:bookmarkEnd w:id="250"/>
    <w:tbl>
      <w:tblPr>
        <w:tblStyle w:val="35"/>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gridSpan w:val="2"/>
            <w:shd w:val="clear" w:color="auto" w:fill="CCCCCC"/>
          </w:tcPr>
          <w:p>
            <w:pPr>
              <w:spacing w:before="156" w:beforeLines="50" w:after="156" w:afterLines="50" w:line="0" w:lineRule="atLeast"/>
              <w:jc w:val="both"/>
              <w:rPr>
                <w:rFonts w:ascii="微软雅黑" w:hAnsi="微软雅黑" w:eastAsia="微软雅黑" w:cs="微软雅黑"/>
                <w:color w:val="000000"/>
                <w:szCs w:val="21"/>
              </w:rPr>
            </w:pPr>
            <w:r>
              <w:rPr>
                <w:rFonts w:hint="eastAsia" w:ascii="微软雅黑" w:hAnsi="微软雅黑" w:eastAsia="微软雅黑" w:cs="微软雅黑"/>
                <w:b/>
                <w:bCs/>
                <w:color w:val="000000"/>
                <w:szCs w:val="21"/>
              </w:rPr>
              <w:t>卡类型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1102</w:t>
            </w:r>
          </w:p>
        </w:tc>
        <w:tc>
          <w:tcPr>
            <w:tcW w:w="3685" w:type="dxa"/>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社会保障卡号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3101</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诊疗卡/就诊卡</w:t>
            </w:r>
            <w:r>
              <w:rPr>
                <w:rFonts w:hint="eastAsia" w:ascii="微软雅黑" w:hAnsi="微软雅黑" w:eastAsia="微软雅黑" w:cs="微软雅黑"/>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5101</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京通卡</w:t>
            </w:r>
          </w:p>
        </w:tc>
      </w:tr>
      <w:bookmarkEnd w:id="251"/>
      <w:bookmarkEnd w:id="25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gridSpan w:val="2"/>
            <w:shd w:val="clear" w:color="auto" w:fill="CCCCCC"/>
          </w:tcPr>
          <w:p>
            <w:pPr>
              <w:spacing w:before="156" w:beforeLines="50" w:after="156" w:afterLines="50" w:line="0" w:lineRule="atLeast"/>
              <w:jc w:val="both"/>
              <w:rPr>
                <w:rFonts w:ascii="微软雅黑" w:hAnsi="微软雅黑" w:eastAsia="微软雅黑" w:cs="微软雅黑"/>
                <w:color w:val="000000"/>
                <w:szCs w:val="21"/>
              </w:rPr>
            </w:pPr>
            <w:r>
              <w:rPr>
                <w:rFonts w:hint="eastAsia" w:ascii="微软雅黑" w:hAnsi="微软雅黑" w:eastAsia="微软雅黑" w:cs="微软雅黑"/>
                <w:b/>
                <w:bCs/>
                <w:color w:val="000000"/>
                <w:szCs w:val="21"/>
              </w:rPr>
              <w:t>证件类型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1101</w:t>
            </w:r>
          </w:p>
        </w:tc>
        <w:tc>
          <w:tcPr>
            <w:tcW w:w="3685" w:type="dxa"/>
          </w:tcPr>
          <w:p>
            <w:pPr>
              <w:rPr>
                <w:rFonts w:ascii="微软雅黑" w:hAnsi="微软雅黑" w:eastAsia="微软雅黑" w:cs="微软雅黑"/>
              </w:rPr>
            </w:pPr>
            <w:r>
              <w:rPr>
                <w:rFonts w:ascii="宋体" w:hAnsi="宋体" w:eastAsia="宋体" w:cs="宋体"/>
                <w:sz w:val="24"/>
                <w:szCs w:val="24"/>
              </w:rPr>
              <w:t>居民身份证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1102</w:t>
            </w:r>
          </w:p>
        </w:tc>
        <w:tc>
          <w:tcPr>
            <w:tcW w:w="3685" w:type="dxa"/>
          </w:tcPr>
          <w:p>
            <w:pPr>
              <w:rPr>
                <w:rFonts w:ascii="微软雅黑" w:hAnsi="微软雅黑" w:eastAsia="微软雅黑" w:cs="微软雅黑"/>
              </w:rPr>
            </w:pPr>
            <w:r>
              <w:rPr>
                <w:rFonts w:ascii="宋体" w:hAnsi="宋体" w:eastAsia="宋体" w:cs="宋体"/>
                <w:sz w:val="24"/>
                <w:szCs w:val="24"/>
              </w:rPr>
              <w:t>临时居民身份证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110</w:t>
            </w:r>
            <w:r>
              <w:rPr>
                <w:rFonts w:hint="eastAsia" w:ascii="宋体" w:hAnsi="宋体" w:eastAsia="宋体" w:cs="宋体"/>
                <w:sz w:val="24"/>
                <w:szCs w:val="24"/>
              </w:rPr>
              <w:t>3</w:t>
            </w:r>
          </w:p>
        </w:tc>
        <w:tc>
          <w:tcPr>
            <w:tcW w:w="3685" w:type="dxa"/>
          </w:tcPr>
          <w:p>
            <w:pPr>
              <w:rPr>
                <w:rFonts w:ascii="微软雅黑" w:hAnsi="微软雅黑" w:eastAsia="微软雅黑" w:cs="微软雅黑"/>
              </w:rPr>
            </w:pPr>
            <w:r>
              <w:rPr>
                <w:rFonts w:ascii="宋体" w:hAnsi="宋体" w:eastAsia="宋体" w:cs="宋体"/>
                <w:sz w:val="24"/>
                <w:szCs w:val="24"/>
              </w:rPr>
              <w:t>出生证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4101</w:t>
            </w:r>
          </w:p>
        </w:tc>
        <w:tc>
          <w:tcPr>
            <w:tcW w:w="3685" w:type="dxa"/>
          </w:tcPr>
          <w:p>
            <w:pPr>
              <w:rPr>
                <w:rFonts w:ascii="微软雅黑" w:hAnsi="微软雅黑" w:eastAsia="微软雅黑" w:cs="微软雅黑"/>
              </w:rPr>
            </w:pPr>
            <w:r>
              <w:rPr>
                <w:rFonts w:ascii="宋体" w:hAnsi="宋体" w:eastAsia="宋体" w:cs="宋体"/>
                <w:sz w:val="24"/>
                <w:szCs w:val="24"/>
              </w:rPr>
              <w:t>户口本</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4102</w:t>
            </w:r>
          </w:p>
        </w:tc>
        <w:tc>
          <w:tcPr>
            <w:tcW w:w="3685" w:type="dxa"/>
          </w:tcPr>
          <w:p>
            <w:pPr>
              <w:rPr>
                <w:rFonts w:ascii="微软雅黑" w:hAnsi="微软雅黑" w:eastAsia="微软雅黑" w:cs="微软雅黑"/>
              </w:rPr>
            </w:pPr>
            <w:r>
              <w:rPr>
                <w:rFonts w:ascii="宋体" w:hAnsi="宋体" w:eastAsia="宋体" w:cs="宋体"/>
                <w:sz w:val="24"/>
                <w:szCs w:val="24"/>
              </w:rPr>
              <w:t>居民暂住证明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4103</w:t>
            </w:r>
          </w:p>
        </w:tc>
        <w:tc>
          <w:tcPr>
            <w:tcW w:w="3685" w:type="dxa"/>
          </w:tcPr>
          <w:p>
            <w:pPr>
              <w:rPr>
                <w:rFonts w:ascii="微软雅黑" w:hAnsi="微软雅黑" w:eastAsia="微软雅黑" w:cs="微软雅黑"/>
              </w:rPr>
            </w:pPr>
            <w:r>
              <w:rPr>
                <w:rFonts w:ascii="宋体" w:hAnsi="宋体" w:eastAsia="宋体" w:cs="宋体"/>
                <w:sz w:val="24"/>
                <w:szCs w:val="24"/>
              </w:rPr>
              <w:t>港澳台居民居住证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4104</w:t>
            </w:r>
          </w:p>
        </w:tc>
        <w:tc>
          <w:tcPr>
            <w:tcW w:w="3685" w:type="dxa"/>
          </w:tcPr>
          <w:p>
            <w:pPr>
              <w:rPr>
                <w:rFonts w:ascii="微软雅黑" w:hAnsi="微软雅黑" w:eastAsia="微软雅黑" w:cs="微软雅黑"/>
              </w:rPr>
            </w:pPr>
            <w:r>
              <w:rPr>
                <w:rFonts w:ascii="宋体" w:hAnsi="宋体" w:eastAsia="宋体" w:cs="宋体"/>
                <w:sz w:val="24"/>
                <w:szCs w:val="24"/>
              </w:rPr>
              <w:t>境外人员身份证明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4105</w:t>
            </w:r>
          </w:p>
        </w:tc>
        <w:tc>
          <w:tcPr>
            <w:tcW w:w="3685" w:type="dxa"/>
          </w:tcPr>
          <w:p>
            <w:pPr>
              <w:rPr>
                <w:rFonts w:ascii="微软雅黑" w:hAnsi="微软雅黑" w:eastAsia="微软雅黑" w:cs="微软雅黑"/>
              </w:rPr>
            </w:pPr>
            <w:r>
              <w:rPr>
                <w:rFonts w:ascii="宋体" w:hAnsi="宋体" w:eastAsia="宋体" w:cs="宋体"/>
                <w:sz w:val="24"/>
                <w:szCs w:val="24"/>
              </w:rPr>
              <w:t>外交人员身份证明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4106</w:t>
            </w:r>
          </w:p>
        </w:tc>
        <w:tc>
          <w:tcPr>
            <w:tcW w:w="3685" w:type="dxa"/>
          </w:tcPr>
          <w:p>
            <w:pPr>
              <w:rPr>
                <w:rFonts w:ascii="微软雅黑" w:hAnsi="微软雅黑" w:eastAsia="微软雅黑" w:cs="微软雅黑"/>
              </w:rPr>
            </w:pPr>
            <w:r>
              <w:rPr>
                <w:rFonts w:ascii="宋体" w:hAnsi="宋体" w:eastAsia="宋体" w:cs="宋体"/>
                <w:sz w:val="24"/>
                <w:szCs w:val="24"/>
              </w:rPr>
              <w:t>外国人永久居住证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4107</w:t>
            </w:r>
          </w:p>
        </w:tc>
        <w:tc>
          <w:tcPr>
            <w:tcW w:w="3685" w:type="dxa"/>
          </w:tcPr>
          <w:p>
            <w:pPr>
              <w:rPr>
                <w:rFonts w:ascii="微软雅黑" w:hAnsi="微软雅黑" w:eastAsia="微软雅黑" w:cs="微软雅黑"/>
              </w:rPr>
            </w:pPr>
            <w:r>
              <w:rPr>
                <w:rFonts w:ascii="宋体" w:hAnsi="宋体" w:eastAsia="宋体" w:cs="宋体"/>
                <w:sz w:val="24"/>
                <w:szCs w:val="24"/>
              </w:rPr>
              <w:t>港澳居民来往内地通行证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4108</w:t>
            </w:r>
          </w:p>
        </w:tc>
        <w:tc>
          <w:tcPr>
            <w:tcW w:w="3685" w:type="dxa"/>
          </w:tcPr>
          <w:p>
            <w:pPr>
              <w:rPr>
                <w:rFonts w:ascii="微软雅黑" w:hAnsi="微软雅黑" w:eastAsia="微软雅黑" w:cs="微软雅黑"/>
              </w:rPr>
            </w:pPr>
            <w:r>
              <w:rPr>
                <w:rFonts w:ascii="宋体" w:hAnsi="宋体" w:eastAsia="宋体" w:cs="宋体"/>
                <w:sz w:val="24"/>
                <w:szCs w:val="24"/>
              </w:rPr>
              <w:t>外国人就业证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4109</w:t>
            </w:r>
          </w:p>
        </w:tc>
        <w:tc>
          <w:tcPr>
            <w:tcW w:w="3685" w:type="dxa"/>
          </w:tcPr>
          <w:p>
            <w:pPr>
              <w:rPr>
                <w:rFonts w:ascii="微软雅黑" w:hAnsi="微软雅黑" w:eastAsia="微软雅黑" w:cs="微软雅黑"/>
              </w:rPr>
            </w:pPr>
            <w:r>
              <w:rPr>
                <w:rFonts w:ascii="宋体" w:hAnsi="宋体" w:eastAsia="宋体" w:cs="宋体"/>
                <w:sz w:val="24"/>
                <w:szCs w:val="24"/>
              </w:rPr>
              <w:t>外国专家证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4110</w:t>
            </w:r>
          </w:p>
        </w:tc>
        <w:tc>
          <w:tcPr>
            <w:tcW w:w="3685" w:type="dxa"/>
          </w:tcPr>
          <w:p>
            <w:pPr>
              <w:rPr>
                <w:rFonts w:ascii="微软雅黑" w:hAnsi="微软雅黑" w:eastAsia="微软雅黑" w:cs="微软雅黑"/>
              </w:rPr>
            </w:pPr>
            <w:r>
              <w:rPr>
                <w:rFonts w:ascii="宋体" w:hAnsi="宋体" w:eastAsia="宋体" w:cs="宋体"/>
                <w:sz w:val="24"/>
                <w:szCs w:val="24"/>
              </w:rPr>
              <w:t>外国人常驻记者证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4111</w:t>
            </w:r>
          </w:p>
        </w:tc>
        <w:tc>
          <w:tcPr>
            <w:tcW w:w="3685" w:type="dxa"/>
          </w:tcPr>
          <w:p>
            <w:pPr>
              <w:rPr>
                <w:rFonts w:ascii="微软雅黑" w:hAnsi="微软雅黑" w:eastAsia="微软雅黑" w:cs="微软雅黑"/>
              </w:rPr>
            </w:pPr>
            <w:r>
              <w:rPr>
                <w:rFonts w:ascii="宋体" w:hAnsi="宋体" w:eastAsia="宋体" w:cs="宋体"/>
                <w:sz w:val="24"/>
                <w:szCs w:val="24"/>
              </w:rPr>
              <w:t>台湾居民来往大陆通行证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4112</w:t>
            </w:r>
          </w:p>
        </w:tc>
        <w:tc>
          <w:tcPr>
            <w:tcW w:w="3685" w:type="dxa"/>
          </w:tcPr>
          <w:p>
            <w:pPr>
              <w:rPr>
                <w:rFonts w:ascii="微软雅黑" w:hAnsi="微软雅黑" w:eastAsia="微软雅黑" w:cs="微软雅黑"/>
              </w:rPr>
            </w:pPr>
            <w:r>
              <w:rPr>
                <w:rFonts w:ascii="宋体" w:hAnsi="宋体" w:eastAsia="宋体" w:cs="宋体"/>
                <w:sz w:val="24"/>
                <w:szCs w:val="24"/>
              </w:rPr>
              <w:t>台港澳人员就业证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4113</w:t>
            </w:r>
          </w:p>
        </w:tc>
        <w:tc>
          <w:tcPr>
            <w:tcW w:w="3685" w:type="dxa"/>
          </w:tcPr>
          <w:p>
            <w:pPr>
              <w:rPr>
                <w:rFonts w:ascii="微软雅黑" w:hAnsi="微软雅黑" w:eastAsia="微软雅黑" w:cs="微软雅黑"/>
              </w:rPr>
            </w:pPr>
            <w:r>
              <w:rPr>
                <w:rFonts w:ascii="宋体" w:hAnsi="宋体" w:eastAsia="宋体" w:cs="宋体"/>
                <w:sz w:val="24"/>
                <w:szCs w:val="24"/>
              </w:rPr>
              <w:t>回国（来华）定居专家证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微软雅黑" w:hAnsi="微软雅黑" w:eastAsia="微软雅黑" w:cs="微软雅黑"/>
              </w:rPr>
            </w:pPr>
            <w:r>
              <w:rPr>
                <w:rFonts w:ascii="宋体" w:hAnsi="宋体" w:eastAsia="宋体" w:cs="宋体"/>
                <w:sz w:val="24"/>
                <w:szCs w:val="24"/>
              </w:rPr>
              <w:t>4114</w:t>
            </w:r>
          </w:p>
        </w:tc>
        <w:tc>
          <w:tcPr>
            <w:tcW w:w="3685" w:type="dxa"/>
          </w:tcPr>
          <w:p>
            <w:pPr>
              <w:rPr>
                <w:rFonts w:ascii="微软雅黑" w:hAnsi="微软雅黑" w:eastAsia="微软雅黑" w:cs="微软雅黑"/>
              </w:rPr>
            </w:pPr>
            <w:r>
              <w:rPr>
                <w:rFonts w:ascii="宋体" w:hAnsi="宋体" w:eastAsia="宋体" w:cs="宋体"/>
                <w:sz w:val="24"/>
                <w:szCs w:val="24"/>
              </w:rPr>
              <w:t>护照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宋体" w:hAnsi="宋体" w:eastAsia="宋体" w:cs="宋体"/>
                <w:sz w:val="24"/>
                <w:szCs w:val="24"/>
              </w:rPr>
            </w:pPr>
            <w:r>
              <w:rPr>
                <w:rFonts w:ascii="宋体" w:hAnsi="宋体" w:eastAsia="宋体" w:cs="宋体"/>
                <w:sz w:val="24"/>
                <w:szCs w:val="24"/>
              </w:rPr>
              <w:t>5101</w:t>
            </w:r>
          </w:p>
        </w:tc>
        <w:tc>
          <w:tcPr>
            <w:tcW w:w="3685" w:type="dxa"/>
          </w:tcPr>
          <w:p>
            <w:pPr>
              <w:rPr>
                <w:rFonts w:ascii="宋体" w:hAnsi="宋体" w:eastAsia="宋体" w:cs="宋体"/>
                <w:sz w:val="24"/>
                <w:szCs w:val="24"/>
              </w:rPr>
            </w:pPr>
            <w:r>
              <w:rPr>
                <w:rFonts w:ascii="宋体" w:hAnsi="宋体" w:eastAsia="宋体" w:cs="宋体"/>
                <w:sz w:val="24"/>
                <w:szCs w:val="24"/>
              </w:rPr>
              <w:t>统一社会信用代码证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rPr>
                <w:rFonts w:ascii="宋体" w:hAnsi="宋体" w:eastAsia="宋体" w:cs="宋体"/>
                <w:sz w:val="24"/>
                <w:szCs w:val="24"/>
              </w:rPr>
            </w:pPr>
            <w:r>
              <w:rPr>
                <w:rFonts w:ascii="宋体" w:hAnsi="宋体" w:eastAsia="宋体" w:cs="宋体"/>
                <w:sz w:val="24"/>
                <w:szCs w:val="24"/>
              </w:rPr>
              <w:t>8101</w:t>
            </w:r>
          </w:p>
        </w:tc>
        <w:tc>
          <w:tcPr>
            <w:tcW w:w="3685" w:type="dxa"/>
            <w:vAlign w:val="center"/>
          </w:tcPr>
          <w:p>
            <w:pPr>
              <w:rPr>
                <w:rFonts w:ascii="宋体" w:hAnsi="宋体" w:eastAsia="宋体" w:cs="宋体"/>
                <w:sz w:val="24"/>
                <w:szCs w:val="24"/>
              </w:rPr>
            </w:pPr>
            <w:r>
              <w:rPr>
                <w:rFonts w:ascii="宋体" w:hAnsi="宋体" w:eastAsia="宋体" w:cs="宋体"/>
                <w:sz w:val="24"/>
                <w:szCs w:val="24"/>
              </w:rPr>
              <w:t>组织机构代码证书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rPr>
                <w:rFonts w:ascii="宋体" w:hAnsi="宋体" w:eastAsia="宋体" w:cs="宋体"/>
                <w:sz w:val="24"/>
                <w:szCs w:val="24"/>
              </w:rPr>
            </w:pPr>
            <w:r>
              <w:rPr>
                <w:rFonts w:ascii="宋体" w:hAnsi="宋体" w:eastAsia="宋体" w:cs="宋体"/>
                <w:sz w:val="24"/>
                <w:szCs w:val="24"/>
              </w:rPr>
              <w:t>9001</w:t>
            </w:r>
          </w:p>
        </w:tc>
        <w:tc>
          <w:tcPr>
            <w:tcW w:w="3685" w:type="dxa"/>
          </w:tcPr>
          <w:p>
            <w:pPr>
              <w:rPr>
                <w:rFonts w:ascii="宋体" w:hAnsi="宋体" w:eastAsia="宋体" w:cs="宋体"/>
                <w:sz w:val="24"/>
                <w:szCs w:val="24"/>
              </w:rPr>
            </w:pPr>
            <w:r>
              <w:rPr>
                <w:rFonts w:ascii="宋体" w:hAnsi="宋体" w:eastAsia="宋体" w:cs="宋体"/>
                <w:sz w:val="24"/>
                <w:szCs w:val="24"/>
              </w:rPr>
              <w:t>军官证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rPr>
                <w:rFonts w:ascii="宋体" w:hAnsi="宋体" w:eastAsia="宋体" w:cs="宋体"/>
                <w:sz w:val="24"/>
                <w:szCs w:val="24"/>
              </w:rPr>
            </w:pPr>
            <w:r>
              <w:rPr>
                <w:rFonts w:ascii="宋体" w:hAnsi="宋体" w:eastAsia="宋体" w:cs="宋体"/>
                <w:sz w:val="24"/>
                <w:szCs w:val="24"/>
              </w:rPr>
              <w:t>9002</w:t>
            </w:r>
          </w:p>
        </w:tc>
        <w:tc>
          <w:tcPr>
            <w:tcW w:w="3685" w:type="dxa"/>
            <w:vAlign w:val="center"/>
          </w:tcPr>
          <w:p>
            <w:pPr>
              <w:rPr>
                <w:rFonts w:ascii="宋体" w:hAnsi="宋体" w:eastAsia="宋体" w:cs="宋体"/>
                <w:sz w:val="24"/>
                <w:szCs w:val="24"/>
              </w:rPr>
            </w:pPr>
            <w:r>
              <w:rPr>
                <w:rFonts w:ascii="宋体" w:hAnsi="宋体" w:eastAsia="宋体" w:cs="宋体"/>
                <w:sz w:val="24"/>
                <w:szCs w:val="24"/>
              </w:rPr>
              <w:t>士兵证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9003</w:t>
            </w:r>
          </w:p>
        </w:tc>
        <w:tc>
          <w:tcPr>
            <w:tcW w:w="3685"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军官离退休证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9004</w:t>
            </w:r>
          </w:p>
        </w:tc>
        <w:tc>
          <w:tcPr>
            <w:tcW w:w="3685"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武警身份证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9005</w:t>
            </w:r>
          </w:p>
        </w:tc>
        <w:tc>
          <w:tcPr>
            <w:tcW w:w="3685"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军烈属证明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after="0" w:line="240" w:lineRule="auto"/>
              <w:rPr>
                <w:rFonts w:ascii="宋体" w:hAnsi="宋体" w:eastAsia="宋体" w:cs="宋体"/>
                <w:sz w:val="24"/>
                <w:szCs w:val="24"/>
              </w:rPr>
            </w:pPr>
            <w:r>
              <w:rPr>
                <w:rFonts w:ascii="宋体" w:hAnsi="宋体" w:eastAsia="宋体" w:cs="宋体"/>
                <w:sz w:val="24"/>
                <w:szCs w:val="24"/>
              </w:rPr>
              <w:t>9006</w:t>
            </w:r>
          </w:p>
        </w:tc>
        <w:tc>
          <w:tcPr>
            <w:tcW w:w="3685" w:type="dxa"/>
          </w:tcPr>
          <w:p>
            <w:pPr>
              <w:spacing w:after="0" w:line="240" w:lineRule="auto"/>
              <w:rPr>
                <w:rFonts w:ascii="宋体" w:hAnsi="宋体" w:eastAsia="宋体" w:cs="宋体"/>
                <w:sz w:val="24"/>
                <w:szCs w:val="24"/>
              </w:rPr>
            </w:pPr>
            <w:r>
              <w:rPr>
                <w:rFonts w:ascii="宋体" w:hAnsi="宋体" w:eastAsia="宋体" w:cs="宋体"/>
                <w:sz w:val="24"/>
                <w:szCs w:val="24"/>
              </w:rPr>
              <w:t>残疾人证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9007</w:t>
            </w:r>
          </w:p>
        </w:tc>
        <w:tc>
          <w:tcPr>
            <w:tcW w:w="3685"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单位注销证明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9009</w:t>
            </w:r>
          </w:p>
        </w:tc>
        <w:tc>
          <w:tcPr>
            <w:tcW w:w="3685" w:type="dxa"/>
            <w:vAlign w:val="center"/>
          </w:tcPr>
          <w:p>
            <w:pPr>
              <w:spacing w:after="0" w:line="240" w:lineRule="auto"/>
              <w:rPr>
                <w:rFonts w:ascii="宋体" w:hAnsi="宋体" w:eastAsia="宋体" w:cs="宋体"/>
                <w:sz w:val="24"/>
                <w:szCs w:val="24"/>
              </w:rPr>
            </w:pPr>
            <w:r>
              <w:rPr>
                <w:rFonts w:ascii="宋体" w:hAnsi="宋体" w:eastAsia="宋体" w:cs="宋体"/>
                <w:sz w:val="24"/>
                <w:szCs w:val="24"/>
              </w:rPr>
              <w:t>驻华机构证明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after="0" w:line="240" w:lineRule="auto"/>
              <w:rPr>
                <w:rFonts w:ascii="宋体" w:hAnsi="宋体" w:eastAsia="宋体" w:cs="宋体"/>
                <w:sz w:val="24"/>
                <w:szCs w:val="24"/>
              </w:rPr>
            </w:pPr>
            <w:r>
              <w:rPr>
                <w:rFonts w:ascii="宋体" w:hAnsi="宋体" w:eastAsia="宋体" w:cs="宋体"/>
                <w:sz w:val="24"/>
                <w:szCs w:val="24"/>
              </w:rPr>
              <w:t>9010</w:t>
            </w:r>
          </w:p>
        </w:tc>
        <w:tc>
          <w:tcPr>
            <w:tcW w:w="3685" w:type="dxa"/>
          </w:tcPr>
          <w:p>
            <w:pPr>
              <w:spacing w:after="0" w:line="240" w:lineRule="auto"/>
              <w:rPr>
                <w:rFonts w:ascii="宋体" w:hAnsi="宋体" w:eastAsia="宋体" w:cs="宋体"/>
                <w:sz w:val="24"/>
                <w:szCs w:val="24"/>
              </w:rPr>
            </w:pPr>
            <w:r>
              <w:rPr>
                <w:rFonts w:ascii="宋体" w:hAnsi="宋体" w:eastAsia="宋体" w:cs="宋体"/>
                <w:sz w:val="24"/>
                <w:szCs w:val="24"/>
              </w:rPr>
              <w:t>营业执照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after="0" w:line="240" w:lineRule="auto"/>
              <w:rPr>
                <w:rFonts w:ascii="宋体" w:hAnsi="宋体" w:eastAsia="宋体" w:cs="宋体"/>
                <w:sz w:val="24"/>
                <w:szCs w:val="24"/>
              </w:rPr>
            </w:pPr>
            <w:r>
              <w:rPr>
                <w:rFonts w:ascii="宋体" w:hAnsi="宋体" w:eastAsia="宋体" w:cs="宋体"/>
                <w:sz w:val="24"/>
                <w:szCs w:val="24"/>
              </w:rPr>
              <w:t>9099</w:t>
            </w:r>
          </w:p>
        </w:tc>
        <w:tc>
          <w:tcPr>
            <w:tcW w:w="3685" w:type="dxa"/>
          </w:tcPr>
          <w:p>
            <w:pPr>
              <w:spacing w:after="0" w:line="240" w:lineRule="auto"/>
              <w:rPr>
                <w:rFonts w:ascii="宋体" w:hAnsi="宋体" w:eastAsia="宋体" w:cs="宋体"/>
                <w:sz w:val="24"/>
                <w:szCs w:val="24"/>
              </w:rPr>
            </w:pPr>
            <w:r>
              <w:rPr>
                <w:rFonts w:ascii="宋体" w:hAnsi="宋体" w:eastAsia="宋体" w:cs="宋体"/>
                <w:sz w:val="24"/>
                <w:szCs w:val="24"/>
              </w:rPr>
              <w:t>其他</w:t>
            </w:r>
          </w:p>
        </w:tc>
      </w:tr>
    </w:tbl>
    <w:p>
      <w:pPr>
        <w:spacing w:before="156" w:beforeLines="50" w:after="156" w:afterLines="50" w:line="0" w:lineRule="atLeast"/>
        <w:rPr>
          <w:rFonts w:ascii="微软雅黑" w:hAnsi="微软雅黑" w:eastAsia="微软雅黑" w:cs="微软雅黑"/>
        </w:rPr>
      </w:pPr>
    </w:p>
    <w:p>
      <w:pPr>
        <w:pStyle w:val="2"/>
        <w:numPr>
          <w:ilvl w:val="0"/>
          <w:numId w:val="0"/>
        </w:numPr>
        <w:spacing w:before="156" w:beforeLines="50" w:after="156" w:afterLines="50" w:line="0" w:lineRule="atLeast"/>
        <w:rPr>
          <w:rFonts w:ascii="微软雅黑" w:hAnsi="微软雅黑" w:eastAsia="微软雅黑" w:cs="微软雅黑"/>
        </w:rPr>
      </w:pPr>
      <w:bookmarkStart w:id="253" w:name="_附录5：缴款渠道列表"/>
      <w:bookmarkEnd w:id="253"/>
      <w:bookmarkStart w:id="254" w:name="_Toc32372"/>
      <w:bookmarkStart w:id="255" w:name="_Toc4105"/>
      <w:bookmarkStart w:id="256" w:name="_附录4：缴款渠道列表"/>
      <w:r>
        <w:rPr>
          <w:rFonts w:hint="eastAsia" w:ascii="微软雅黑" w:hAnsi="微软雅黑" w:eastAsia="微软雅黑" w:cs="微软雅黑"/>
        </w:rPr>
        <w:t>附录4：</w:t>
      </w:r>
      <w:r>
        <w:rPr>
          <w:rFonts w:hint="eastAsia" w:ascii="微软雅黑" w:hAnsi="微软雅黑" w:eastAsia="微软雅黑" w:cs="微软雅黑"/>
          <w:szCs w:val="21"/>
        </w:rPr>
        <w:t>交费渠道</w:t>
      </w:r>
      <w:r>
        <w:rPr>
          <w:rFonts w:hint="eastAsia" w:ascii="微软雅黑" w:hAnsi="微软雅黑" w:eastAsia="微软雅黑" w:cs="微软雅黑"/>
        </w:rPr>
        <w:t>列表</w:t>
      </w:r>
      <w:bookmarkEnd w:id="254"/>
      <w:bookmarkEnd w:id="255"/>
      <w:bookmarkEnd w:id="256"/>
    </w:p>
    <w:tbl>
      <w:tblPr>
        <w:tblStyle w:val="35"/>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01</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POS刷卡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02</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现金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03</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转账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04</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支付宝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 xml:space="preserve">05 </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微信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06</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支票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07</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卡支付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08</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银联卡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09</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自助机缴费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10</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软POS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11</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医保支付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12</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预交金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13</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公众平台</w:t>
            </w:r>
          </w:p>
        </w:tc>
      </w:tr>
    </w:tbl>
    <w:p>
      <w:pPr>
        <w:pStyle w:val="2"/>
        <w:numPr>
          <w:ilvl w:val="0"/>
          <w:numId w:val="0"/>
        </w:numPr>
        <w:spacing w:before="156" w:beforeLines="50" w:after="156" w:afterLines="50" w:line="0" w:lineRule="atLeast"/>
        <w:rPr>
          <w:rFonts w:ascii="微软雅黑" w:hAnsi="微软雅黑" w:eastAsia="微软雅黑" w:cs="微软雅黑"/>
        </w:rPr>
      </w:pPr>
      <w:bookmarkStart w:id="257" w:name="_附录6：业务类型列表"/>
      <w:bookmarkEnd w:id="257"/>
      <w:bookmarkStart w:id="258" w:name="_Toc19087"/>
      <w:bookmarkStart w:id="259" w:name="_Toc1664"/>
      <w:bookmarkStart w:id="260" w:name="_附录5：业务类型列表"/>
      <w:r>
        <w:rPr>
          <w:rFonts w:hint="eastAsia" w:ascii="微软雅黑" w:hAnsi="微软雅黑" w:eastAsia="微软雅黑" w:cs="微软雅黑"/>
          <w:szCs w:val="21"/>
        </w:rPr>
        <w:t>附录5：业务标识</w:t>
      </w:r>
      <w:r>
        <w:rPr>
          <w:rFonts w:hint="eastAsia" w:ascii="微软雅黑" w:hAnsi="微软雅黑" w:eastAsia="微软雅黑" w:cs="微软雅黑"/>
        </w:rPr>
        <w:t>列表</w:t>
      </w:r>
      <w:bookmarkEnd w:id="258"/>
      <w:bookmarkEnd w:id="259"/>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业务标识对应具体API服务标识</w:t>
      </w:r>
      <w:bookmarkEnd w:id="260"/>
    </w:p>
    <w:tbl>
      <w:tblPr>
        <w:tblStyle w:val="35"/>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01</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住院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02</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bCs/>
                <w:color w:val="000000"/>
                <w:szCs w:val="21"/>
              </w:rPr>
              <w:t>门诊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03</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急诊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04</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门特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05</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体检中心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06</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挂号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07</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住院预交金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08</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体检预交金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09</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往来票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10</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捐赠票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11</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非税通用票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12</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门诊预交金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bookmarkStart w:id="261" w:name="_Toc20401"/>
            <w:bookmarkStart w:id="262" w:name="_附录6：通知类型"/>
            <w:r>
              <w:rPr>
                <w:rFonts w:ascii="微软雅黑" w:hAnsi="微软雅黑" w:eastAsia="微软雅黑" w:cs="微软雅黑"/>
                <w:color w:val="000000" w:themeColor="text1"/>
                <w:szCs w:val="21"/>
                <w14:textFill>
                  <w14:solidFill>
                    <w14:schemeClr w14:val="tx1"/>
                  </w14:solidFill>
                </w14:textFill>
              </w:rPr>
              <w:t>13</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出院证明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14</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收款收据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15</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互联网医院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16</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教育缴费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17</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收款收条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18</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会费缴费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19</w:t>
            </w:r>
          </w:p>
        </w:tc>
        <w:tc>
          <w:tcPr>
            <w:tcW w:w="3685" w:type="dxa"/>
          </w:tcPr>
          <w:p>
            <w:pPr>
              <w:spacing w:before="156" w:beforeLines="50" w:after="156" w:afterLines="50" w:line="0" w:lineRule="atLeast"/>
              <w:rPr>
                <w:rFonts w:ascii="微软雅黑" w:hAnsi="微软雅黑" w:eastAsia="微软雅黑" w:cs="微软雅黑"/>
                <w:bCs/>
                <w:color w:val="000000"/>
                <w:szCs w:val="21"/>
              </w:rPr>
            </w:pPr>
            <w:r>
              <w:rPr>
                <w:rFonts w:hint="eastAsia" w:ascii="微软雅黑" w:hAnsi="微软雅黑" w:eastAsia="微软雅黑" w:cs="微软雅黑"/>
                <w:bCs/>
                <w:color w:val="000000"/>
                <w:szCs w:val="21"/>
              </w:rPr>
              <w:t>医保结算单</w:t>
            </w:r>
          </w:p>
        </w:tc>
      </w:tr>
    </w:tbl>
    <w:p>
      <w:pPr>
        <w:pStyle w:val="2"/>
        <w:numPr>
          <w:ilvl w:val="0"/>
          <w:numId w:val="0"/>
        </w:numPr>
        <w:spacing w:before="156" w:beforeLines="50" w:after="156" w:afterLines="50" w:line="0" w:lineRule="atLeast"/>
        <w:rPr>
          <w:rFonts w:ascii="微软雅黑" w:hAnsi="微软雅黑" w:eastAsia="微软雅黑" w:cs="微软雅黑"/>
        </w:rPr>
      </w:pPr>
      <w:bookmarkStart w:id="263" w:name="_Toc4706"/>
      <w:r>
        <w:rPr>
          <w:rFonts w:hint="eastAsia" w:ascii="微软雅黑" w:hAnsi="微软雅黑" w:eastAsia="微软雅黑" w:cs="微软雅黑"/>
          <w:szCs w:val="21"/>
        </w:rPr>
        <w:t>附录6：通知类型</w:t>
      </w:r>
      <w:bookmarkEnd w:id="261"/>
      <w:bookmarkEnd w:id="262"/>
      <w:bookmarkEnd w:id="263"/>
    </w:p>
    <w:tbl>
      <w:tblPr>
        <w:tblStyle w:val="35"/>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1201</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rPr>
              <w:t>移动电话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1202</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rPr>
              <w:t>电子邮件</w:t>
            </w:r>
          </w:p>
        </w:tc>
      </w:tr>
    </w:tbl>
    <w:p>
      <w:pPr>
        <w:pStyle w:val="2"/>
        <w:numPr>
          <w:ilvl w:val="0"/>
          <w:numId w:val="0"/>
        </w:numPr>
        <w:spacing w:before="156" w:beforeLines="50" w:after="156" w:afterLines="50" w:line="0" w:lineRule="atLeast"/>
        <w:rPr>
          <w:rFonts w:ascii="微软雅黑" w:hAnsi="微软雅黑" w:eastAsia="微软雅黑" w:cs="微软雅黑"/>
        </w:rPr>
      </w:pPr>
      <w:bookmarkStart w:id="264" w:name="_附录8：银行列表"/>
      <w:bookmarkEnd w:id="264"/>
      <w:bookmarkStart w:id="265" w:name="_Toc31521"/>
      <w:bookmarkStart w:id="266" w:name="_附录7：医保报销类型列表"/>
      <w:bookmarkStart w:id="267" w:name="_Toc19225"/>
      <w:bookmarkStart w:id="268" w:name="_Toc487200458"/>
      <w:bookmarkStart w:id="269" w:name="_Toc483405723"/>
      <w:r>
        <w:rPr>
          <w:rFonts w:hint="eastAsia" w:ascii="微软雅黑" w:hAnsi="微软雅黑" w:eastAsia="微软雅黑" w:cs="微软雅黑"/>
          <w:szCs w:val="21"/>
        </w:rPr>
        <w:t>附录7：</w:t>
      </w:r>
      <w:r>
        <w:rPr>
          <w:rFonts w:hint="eastAsia" w:ascii="微软雅黑" w:hAnsi="微软雅黑" w:eastAsia="微软雅黑" w:cs="微软雅黑"/>
        </w:rPr>
        <w:t>医保报销类型列表</w:t>
      </w:r>
      <w:bookmarkEnd w:id="265"/>
      <w:bookmarkEnd w:id="266"/>
      <w:bookmarkEnd w:id="267"/>
    </w:p>
    <w:tbl>
      <w:tblPr>
        <w:tblStyle w:val="35"/>
        <w:tblW w:w="524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color w:val="000000" w:themeColor="text1"/>
                <w:szCs w:val="21"/>
                <w14:textFill>
                  <w14:solidFill>
                    <w14:schemeClr w14:val="tx1"/>
                  </w14:solidFill>
                </w14:textFill>
              </w:rPr>
              <w:t>01</w:t>
            </w:r>
          </w:p>
        </w:tc>
        <w:tc>
          <w:tcPr>
            <w:tcW w:w="3685" w:type="dxa"/>
          </w:tcPr>
          <w:p>
            <w:pPr>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rPr>
              <w:t>公务员报销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before="156" w:beforeLines="50" w:after="156" w:afterLines="50" w:line="0" w:lineRule="atLeast"/>
              <w:rPr>
                <w:rFonts w:ascii="微软雅黑" w:hAnsi="微软雅黑" w:eastAsia="微软雅黑" w:cs="微软雅黑"/>
                <w:color w:val="000000" w:themeColor="text1"/>
                <w:szCs w:val="21"/>
                <w14:textFill>
                  <w14:solidFill>
                    <w14:schemeClr w14:val="tx1"/>
                  </w14:solidFill>
                </w14:textFill>
              </w:rPr>
            </w:pPr>
            <w:r>
              <w:rPr>
                <w:rFonts w:hint="eastAsia" w:ascii="微软雅黑" w:hAnsi="微软雅黑" w:eastAsia="微软雅黑" w:cs="微软雅黑"/>
              </w:rPr>
              <w:t>02</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color w:val="0070C0"/>
                <w:szCs w:val="21"/>
              </w:rPr>
            </w:pPr>
            <w:r>
              <w:rPr>
                <w:rFonts w:hint="eastAsia" w:ascii="微软雅黑" w:hAnsi="微软雅黑" w:eastAsia="微软雅黑" w:cs="微软雅黑"/>
              </w:rPr>
              <w:t>基本医疗报销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03</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补充报销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04</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其它（可以按需添加）</w:t>
            </w:r>
          </w:p>
        </w:tc>
      </w:tr>
    </w:tbl>
    <w:p>
      <w:pPr>
        <w:pStyle w:val="2"/>
        <w:numPr>
          <w:ilvl w:val="0"/>
          <w:numId w:val="0"/>
        </w:numPr>
        <w:spacing w:before="156" w:beforeLines="50" w:after="156" w:afterLines="50" w:line="0" w:lineRule="atLeast"/>
        <w:rPr>
          <w:rFonts w:ascii="微软雅黑" w:hAnsi="微软雅黑" w:eastAsia="微软雅黑" w:cs="微软雅黑"/>
        </w:rPr>
      </w:pPr>
      <w:bookmarkStart w:id="270" w:name="_Toc29281"/>
      <w:bookmarkStart w:id="271" w:name="_Toc32162"/>
      <w:r>
        <w:rPr>
          <w:rFonts w:hint="eastAsia" w:ascii="微软雅黑" w:hAnsi="微软雅黑" w:eastAsia="微软雅黑" w:cs="微软雅黑"/>
          <w:szCs w:val="21"/>
        </w:rPr>
        <w:t>附录8：支付类型编码</w:t>
      </w:r>
      <w:r>
        <w:rPr>
          <w:rFonts w:hint="eastAsia" w:ascii="微软雅黑" w:hAnsi="微软雅黑" w:eastAsia="微软雅黑" w:cs="微软雅黑"/>
        </w:rPr>
        <w:t>列表</w:t>
      </w:r>
      <w:bookmarkEnd w:id="270"/>
    </w:p>
    <w:p>
      <w:pPr>
        <w:pStyle w:val="3"/>
        <w:spacing w:before="156" w:beforeLines="50" w:after="156" w:afterLines="50" w:line="0" w:lineRule="atLeast"/>
        <w:ind w:firstLine="0"/>
        <w:rPr>
          <w:rFonts w:ascii="微软雅黑" w:hAnsi="微软雅黑" w:eastAsia="微软雅黑" w:cs="微软雅黑"/>
        </w:rPr>
      </w:pPr>
      <w:r>
        <w:rPr>
          <w:rFonts w:hint="eastAsia" w:ascii="微软雅黑" w:hAnsi="微软雅黑" w:eastAsia="微软雅黑" w:cs="微软雅黑"/>
        </w:rPr>
        <w:t>实际对接中根据业务需要可自行增加编码。</w:t>
      </w:r>
    </w:p>
    <w:tbl>
      <w:tblPr>
        <w:tblStyle w:val="35"/>
        <w:tblW w:w="6805"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1560"/>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0" w:type="dxa"/>
            <w:shd w:val="clear" w:color="auto" w:fill="CCCCCC"/>
          </w:tcPr>
          <w:p>
            <w:pPr>
              <w:spacing w:before="156" w:beforeLines="50" w:after="156" w:afterLines="50" w:line="0" w:lineRule="atLeast"/>
              <w:jc w:val="center"/>
              <w:rPr>
                <w:rFonts w:ascii="微软雅黑" w:hAnsi="微软雅黑" w:eastAsia="微软雅黑" w:cs="微软雅黑"/>
                <w:color w:val="000000"/>
                <w:szCs w:val="21"/>
              </w:rPr>
            </w:pPr>
            <w:r>
              <w:rPr>
                <w:rFonts w:hint="eastAsia" w:ascii="微软雅黑" w:hAnsi="微软雅黑" w:eastAsia="微软雅黑" w:cs="微软雅黑"/>
                <w:color w:val="000000"/>
                <w:szCs w:val="21"/>
              </w:rPr>
              <w:t>类型</w:t>
            </w:r>
          </w:p>
        </w:tc>
        <w:tc>
          <w:tcPr>
            <w:tcW w:w="1560" w:type="dxa"/>
            <w:shd w:val="clear" w:color="auto" w:fill="CCCCCC"/>
          </w:tcPr>
          <w:p>
            <w:pPr>
              <w:spacing w:before="156" w:beforeLines="50" w:after="156" w:afterLines="50" w:line="0" w:lineRule="atLeast"/>
              <w:jc w:val="center"/>
              <w:rPr>
                <w:rFonts w:ascii="微软雅黑" w:hAnsi="微软雅黑" w:eastAsia="微软雅黑" w:cs="微软雅黑"/>
                <w:b/>
                <w:color w:val="000000"/>
                <w:szCs w:val="21"/>
              </w:rPr>
            </w:pPr>
            <w:r>
              <w:rPr>
                <w:rFonts w:hint="eastAsia" w:ascii="微软雅黑" w:hAnsi="微软雅黑" w:eastAsia="微软雅黑" w:cs="微软雅黑"/>
                <w:color w:val="000000"/>
                <w:szCs w:val="21"/>
              </w:rPr>
              <w:t>编码</w:t>
            </w:r>
          </w:p>
        </w:tc>
        <w:tc>
          <w:tcPr>
            <w:tcW w:w="3685" w:type="dxa"/>
            <w:shd w:val="clear" w:color="auto" w:fill="CCCCCC"/>
          </w:tcPr>
          <w:p>
            <w:pPr>
              <w:spacing w:before="156" w:beforeLines="50" w:after="156" w:afterLines="50" w:line="0" w:lineRule="atLeast"/>
              <w:jc w:val="center"/>
              <w:rPr>
                <w:rFonts w:ascii="微软雅黑" w:hAnsi="微软雅黑" w:eastAsia="微软雅黑" w:cs="微软雅黑"/>
                <w:bCs/>
              </w:rPr>
            </w:pPr>
            <w:r>
              <w:rPr>
                <w:rFonts w:hint="eastAsia" w:ascii="微软雅黑" w:hAnsi="微软雅黑" w:eastAsia="微软雅黑" w:cs="微软雅黑"/>
                <w:color w:val="000000"/>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招行</w:t>
            </w:r>
          </w:p>
        </w:tc>
        <w:tc>
          <w:tcPr>
            <w:tcW w:w="1560" w:type="dxa"/>
            <w:vAlign w:val="center"/>
          </w:tcPr>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9209</w:t>
            </w:r>
          </w:p>
        </w:tc>
        <w:tc>
          <w:tcPr>
            <w:tcW w:w="3685" w:type="dxa"/>
            <w:vAlign w:val="center"/>
          </w:tcPr>
          <w:p>
            <w:pPr>
              <w:tabs>
                <w:tab w:val="center" w:pos="1734"/>
              </w:tabs>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招行流水号</w:t>
            </w:r>
          </w:p>
        </w:tc>
      </w:tr>
    </w:tbl>
    <w:p>
      <w:pPr>
        <w:pStyle w:val="2"/>
        <w:numPr>
          <w:ilvl w:val="0"/>
          <w:numId w:val="0"/>
        </w:numPr>
        <w:spacing w:before="156" w:beforeLines="50" w:after="156" w:afterLines="50" w:line="0" w:lineRule="atLeast"/>
        <w:rPr>
          <w:rFonts w:ascii="微软雅黑" w:hAnsi="微软雅黑" w:eastAsia="微软雅黑" w:cs="微软雅黑"/>
        </w:rPr>
      </w:pPr>
      <w:bookmarkStart w:id="272" w:name="_Toc13335"/>
      <w:r>
        <w:rPr>
          <w:rFonts w:hint="eastAsia" w:ascii="微软雅黑" w:hAnsi="微软雅黑" w:eastAsia="微软雅黑" w:cs="微软雅黑"/>
        </w:rPr>
        <w:t>附录9：编码对照说明</w:t>
      </w:r>
      <w:bookmarkEnd w:id="268"/>
      <w:bookmarkEnd w:id="269"/>
      <w:bookmarkEnd w:id="271"/>
      <w:bookmarkEnd w:id="272"/>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ab/>
      </w:r>
      <w:r>
        <w:rPr>
          <w:rFonts w:hint="eastAsia" w:ascii="微软雅黑" w:hAnsi="微软雅黑" w:eastAsia="微软雅黑" w:cs="微软雅黑"/>
        </w:rPr>
        <w:t>第三方业务系统中的单位编码、项目编码、票据种类编码、票据代码、开票点编码与医疗电子票据管理平台不一致时，需要先在医疗电子票据管理平台中配置对照关系。</w:t>
      </w:r>
    </w:p>
    <w:p>
      <w:pPr>
        <w:spacing w:before="156" w:beforeLines="50" w:after="156" w:afterLines="50" w:line="0" w:lineRule="atLeast"/>
        <w:rPr>
          <w:rFonts w:ascii="微软雅黑" w:hAnsi="微软雅黑" w:eastAsia="微软雅黑" w:cs="微软雅黑"/>
        </w:rPr>
      </w:pPr>
    </w:p>
    <w:p>
      <w:pPr>
        <w:pStyle w:val="2"/>
        <w:numPr>
          <w:ilvl w:val="0"/>
          <w:numId w:val="0"/>
        </w:numPr>
        <w:spacing w:before="156" w:beforeLines="50" w:after="156" w:afterLines="50" w:line="0" w:lineRule="atLeast"/>
        <w:rPr>
          <w:rFonts w:ascii="微软雅黑" w:hAnsi="微软雅黑" w:eastAsia="微软雅黑" w:cs="微软雅黑"/>
          <w:sz w:val="44"/>
          <w:szCs w:val="44"/>
        </w:rPr>
      </w:pPr>
      <w:bookmarkStart w:id="273" w:name="_Toc1222"/>
      <w:bookmarkStart w:id="274" w:name="_Toc26676"/>
      <w:bookmarkStart w:id="275" w:name="OLE_LINK76"/>
      <w:bookmarkStart w:id="276" w:name="OLE_LINK74"/>
      <w:bookmarkStart w:id="277" w:name="OLE_LINK75"/>
      <w:bookmarkStart w:id="278" w:name="OLE_LINK77"/>
      <w:r>
        <w:rPr>
          <w:rFonts w:hint="eastAsia" w:ascii="微软雅黑" w:hAnsi="微软雅黑" w:eastAsia="微软雅黑" w:cs="微软雅黑"/>
        </w:rPr>
        <w:t>附录10：返回结果标识列表</w:t>
      </w:r>
      <w:bookmarkEnd w:id="273"/>
      <w:bookmarkEnd w:id="274"/>
    </w:p>
    <w:tbl>
      <w:tblPr>
        <w:tblStyle w:val="35"/>
        <w:tblW w:w="5245" w:type="dxa"/>
        <w:tblInd w:w="250" w:type="dxa"/>
        <w:tblLayout w:type="fixed"/>
        <w:tblCellMar>
          <w:top w:w="0" w:type="dxa"/>
          <w:left w:w="108" w:type="dxa"/>
          <w:bottom w:w="0" w:type="dxa"/>
          <w:right w:w="108" w:type="dxa"/>
        </w:tblCellMar>
      </w:tblPr>
      <w:tblGrid>
        <w:gridCol w:w="1560"/>
        <w:gridCol w:w="3685"/>
      </w:tblGrid>
      <w:tr>
        <w:tblPrEx>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b/>
                <w:bCs/>
                <w:color w:val="000000"/>
              </w:rPr>
            </w:pPr>
            <w:r>
              <w:rPr>
                <w:rFonts w:hint="eastAsia" w:ascii="微软雅黑" w:hAnsi="微软雅黑" w:eastAsia="微软雅黑" w:cs="微软雅黑"/>
                <w:color w:val="000000"/>
              </w:rPr>
              <w:t>编码</w:t>
            </w:r>
          </w:p>
        </w:tc>
        <w:tc>
          <w:tcPr>
            <w:tcW w:w="3685" w:type="dxa"/>
            <w:tcBorders>
              <w:top w:val="single" w:color="auto" w:sz="4" w:space="0"/>
              <w:left w:val="nil"/>
              <w:bottom w:val="single" w:color="auto" w:sz="4" w:space="0"/>
              <w:right w:val="single" w:color="auto" w:sz="4" w:space="0"/>
            </w:tcBorders>
            <w:shd w:val="clear" w:color="auto" w:fill="CCCCCC"/>
          </w:tcPr>
          <w:p>
            <w:pPr>
              <w:spacing w:before="156" w:beforeLines="50" w:after="156" w:afterLines="50" w:line="0" w:lineRule="atLeast"/>
              <w:jc w:val="center"/>
              <w:rPr>
                <w:rFonts w:ascii="微软雅黑" w:hAnsi="微软雅黑" w:eastAsia="微软雅黑" w:cs="微软雅黑"/>
              </w:rPr>
            </w:pPr>
            <w:r>
              <w:rPr>
                <w:rFonts w:hint="eastAsia" w:ascii="微软雅黑" w:hAnsi="微软雅黑" w:eastAsia="微软雅黑" w:cs="微软雅黑"/>
                <w:color w:val="000000"/>
              </w:rPr>
              <w:t>描述</w:t>
            </w:r>
          </w:p>
        </w:tc>
      </w:tr>
      <w:tr>
        <w:tblPrEx>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tcPr>
          <w:p>
            <w:pPr>
              <w:spacing w:before="156" w:beforeLines="50" w:after="156" w:afterLines="50" w:line="0" w:lineRule="atLeast"/>
              <w:rPr>
                <w:rFonts w:ascii="微软雅黑" w:hAnsi="微软雅黑" w:eastAsia="微软雅黑" w:cs="微软雅黑"/>
                <w:color w:val="000000"/>
              </w:rPr>
            </w:pPr>
            <w:r>
              <w:rPr>
                <w:rFonts w:hint="eastAsia" w:ascii="微软雅黑" w:hAnsi="微软雅黑" w:eastAsia="微软雅黑" w:cs="微软雅黑"/>
                <w:color w:val="000000"/>
              </w:rPr>
              <w:t>S0000</w:t>
            </w:r>
          </w:p>
        </w:tc>
        <w:tc>
          <w:tcPr>
            <w:tcW w:w="3685" w:type="dxa"/>
            <w:tcBorders>
              <w:top w:val="single" w:color="auto" w:sz="4" w:space="0"/>
              <w:left w:val="nil"/>
              <w:bottom w:val="single" w:color="auto" w:sz="4" w:space="0"/>
              <w:right w:val="single" w:color="auto" w:sz="4" w:space="0"/>
            </w:tcBorders>
          </w:tcPr>
          <w:p>
            <w:pPr>
              <w:spacing w:before="156" w:beforeLines="50" w:after="156" w:afterLines="50" w:line="0" w:lineRule="atLeast"/>
              <w:rPr>
                <w:rFonts w:ascii="微软雅黑" w:hAnsi="微软雅黑" w:eastAsia="微软雅黑" w:cs="微软雅黑"/>
                <w:color w:val="0070C0"/>
              </w:rPr>
            </w:pPr>
            <w:r>
              <w:rPr>
                <w:rFonts w:hint="eastAsia" w:ascii="微软雅黑" w:hAnsi="微软雅黑" w:eastAsia="微软雅黑" w:cs="微软雅黑"/>
              </w:rPr>
              <w:t>成功的返回代码</w:t>
            </w:r>
          </w:p>
        </w:tc>
      </w:tr>
      <w:tr>
        <w:tblPrEx>
          <w:tblCellMar>
            <w:top w:w="0" w:type="dxa"/>
            <w:left w:w="108" w:type="dxa"/>
            <w:bottom w:w="0" w:type="dxa"/>
            <w:right w:w="108" w:type="dxa"/>
          </w:tblCellMar>
        </w:tblPrEx>
        <w:tc>
          <w:tcPr>
            <w:tcW w:w="1560" w:type="dxa"/>
            <w:tcBorders>
              <w:top w:val="single" w:color="auto" w:sz="4" w:space="0"/>
              <w:left w:val="single" w:color="auto" w:sz="4" w:space="0"/>
              <w:bottom w:val="single" w:color="auto" w:sz="4" w:space="0"/>
              <w:right w:val="single" w:color="auto" w:sz="4" w:space="0"/>
            </w:tcBorders>
          </w:tcPr>
          <w:p>
            <w:pPr>
              <w:spacing w:before="156" w:beforeLines="50" w:after="156" w:afterLines="50" w:line="0" w:lineRule="atLeast"/>
              <w:rPr>
                <w:rFonts w:ascii="微软雅黑" w:hAnsi="微软雅黑" w:eastAsia="微软雅黑" w:cs="微软雅黑"/>
                <w:color w:val="000000"/>
              </w:rPr>
            </w:pPr>
            <w:r>
              <w:rPr>
                <w:rFonts w:hint="eastAsia" w:ascii="微软雅黑" w:hAnsi="微软雅黑" w:eastAsia="微软雅黑" w:cs="微软雅黑"/>
                <w:color w:val="000000"/>
              </w:rPr>
              <w:t>EXXXX</w:t>
            </w:r>
          </w:p>
        </w:tc>
        <w:tc>
          <w:tcPr>
            <w:tcW w:w="3685" w:type="dxa"/>
            <w:tcBorders>
              <w:top w:val="single" w:color="auto" w:sz="4" w:space="0"/>
              <w:left w:val="nil"/>
              <w:bottom w:val="single" w:color="auto" w:sz="4" w:space="0"/>
              <w:right w:val="single" w:color="auto" w:sz="4" w:space="0"/>
            </w:tcBorders>
          </w:tcPr>
          <w:p>
            <w:pPr>
              <w:spacing w:before="156" w:beforeLines="50" w:after="156" w:afterLines="50" w:line="0" w:lineRule="atLeast"/>
              <w:rPr>
                <w:rFonts w:ascii="微软雅黑" w:hAnsi="微软雅黑" w:eastAsia="微软雅黑" w:cs="微软雅黑"/>
                <w:color w:val="0070C0"/>
              </w:rPr>
            </w:pPr>
            <w:r>
              <w:rPr>
                <w:rFonts w:hint="eastAsia" w:ascii="微软雅黑" w:hAnsi="微软雅黑" w:eastAsia="微软雅黑" w:cs="微软雅黑"/>
              </w:rPr>
              <w:t>除了S0000之外的代码,其它所有值都表示错误的返回代码。</w:t>
            </w:r>
          </w:p>
        </w:tc>
      </w:tr>
      <w:bookmarkEnd w:id="275"/>
      <w:bookmarkEnd w:id="276"/>
      <w:bookmarkEnd w:id="277"/>
      <w:bookmarkEnd w:id="278"/>
    </w:tbl>
    <w:p>
      <w:pPr>
        <w:spacing w:before="156" w:beforeLines="50" w:after="156" w:afterLines="50" w:line="0" w:lineRule="atLeast"/>
        <w:rPr>
          <w:rFonts w:ascii="微软雅黑" w:hAnsi="微软雅黑" w:eastAsia="微软雅黑" w:cs="微软雅黑"/>
        </w:rPr>
      </w:pPr>
    </w:p>
    <w:p>
      <w:pPr>
        <w:pStyle w:val="2"/>
        <w:numPr>
          <w:ilvl w:val="0"/>
          <w:numId w:val="0"/>
        </w:numPr>
        <w:spacing w:before="156" w:beforeLines="50" w:after="156" w:afterLines="50" w:line="0" w:lineRule="atLeast"/>
        <w:rPr>
          <w:rFonts w:ascii="微软雅黑" w:hAnsi="微软雅黑" w:eastAsia="微软雅黑" w:cs="微软雅黑"/>
          <w:sz w:val="44"/>
          <w:szCs w:val="44"/>
        </w:rPr>
      </w:pPr>
      <w:bookmarkStart w:id="279" w:name="_Toc27832"/>
      <w:bookmarkStart w:id="280" w:name="_Toc4268"/>
      <w:r>
        <w:rPr>
          <w:rFonts w:hint="eastAsia" w:ascii="微软雅黑" w:hAnsi="微软雅黑" w:eastAsia="微软雅黑" w:cs="微软雅黑"/>
        </w:rPr>
        <w:t>附录11：请求参数示例说明</w:t>
      </w:r>
      <w:bookmarkEnd w:id="279"/>
      <w:bookmarkEnd w:id="280"/>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请求参数示例：</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JSON中data参数明文内容：</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"appid": "7e7f4e61189145c1a5c2cce38a4219b3",</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"data": {</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"billBatchCode": "0100000100",</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"billNo": " 0000000001",</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"random": "DFG456"</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"noise": "ibuaiVcKdpRxkhJAXXXX",</w:t>
      </w:r>
    </w:p>
    <w:p>
      <w:pPr>
        <w:pStyle w:val="92"/>
        <w:spacing w:before="156" w:beforeLines="50" w:after="156" w:afterLines="50" w:line="0" w:lineRule="atLeast"/>
        <w:ind w:firstLine="0" w:firstLineChars="0"/>
        <w:rPr>
          <w:rFonts w:ascii="微软雅黑" w:hAnsi="微软雅黑" w:eastAsia="微软雅黑" w:cs="微软雅黑"/>
          <w:color w:val="C00000"/>
        </w:rPr>
      </w:pPr>
      <w:r>
        <w:rPr>
          <w:rFonts w:hint="eastAsia" w:ascii="微软雅黑" w:hAnsi="微软雅黑" w:eastAsia="微软雅黑" w:cs="微软雅黑"/>
          <w:color w:val="C00000"/>
        </w:rPr>
        <w:t>"version": "1.0",</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"sign": "E9324CF02F95CB072B6DBCEA33E725C3"</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JSON中data参数最终请求内容，base64：</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 xml:space="preserve">    "appid": "7e7f4e61189145c1a5c2cce38a4219b3",</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 xml:space="preserve">    "data": "ewogICAgICAgICJlQmlsbEJhdGNoQ29kZSI6ICIwMTAwMDAwMTAwIiwKICAgICAgICAiZUJpbGxObyI6ICIwMDAwMDAwMDAxIiwKICAgICAgICAiZVJhbmRvbSI6ICJERkc0NTYiCiB9",</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"noise": "ibuaiVcKdpRxkhJAXXXXX",</w:t>
      </w:r>
    </w:p>
    <w:p>
      <w:pPr>
        <w:pStyle w:val="92"/>
        <w:spacing w:before="156" w:beforeLines="50" w:after="156" w:afterLines="50" w:line="0" w:lineRule="atLeast"/>
        <w:ind w:firstLine="0" w:firstLineChars="0"/>
        <w:rPr>
          <w:rFonts w:ascii="微软雅黑" w:hAnsi="微软雅黑" w:eastAsia="微软雅黑" w:cs="微软雅黑"/>
          <w:color w:val="C00000"/>
        </w:rPr>
      </w:pPr>
      <w:r>
        <w:rPr>
          <w:rFonts w:hint="eastAsia" w:ascii="微软雅黑" w:hAnsi="微软雅黑" w:eastAsia="微软雅黑" w:cs="微软雅黑"/>
          <w:color w:val="C00000"/>
        </w:rPr>
        <w:t>"version": "1.0",</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 xml:space="preserve">    "sign": "E9324CF02F95CB072B6DBCEA33E725C3"</w:t>
      </w:r>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w:t>
      </w:r>
    </w:p>
    <w:p>
      <w:pPr>
        <w:pStyle w:val="2"/>
        <w:numPr>
          <w:ilvl w:val="0"/>
          <w:numId w:val="0"/>
        </w:numPr>
        <w:spacing w:before="156" w:beforeLines="50" w:after="156" w:afterLines="50" w:line="0" w:lineRule="atLeast"/>
        <w:rPr>
          <w:rFonts w:ascii="微软雅黑" w:hAnsi="微软雅黑" w:eastAsia="微软雅黑" w:cs="微软雅黑"/>
          <w:sz w:val="44"/>
          <w:szCs w:val="44"/>
        </w:rPr>
      </w:pPr>
      <w:bookmarkStart w:id="281" w:name="_Toc5267"/>
      <w:bookmarkStart w:id="282" w:name="_Toc21166"/>
      <w:bookmarkStart w:id="283" w:name="_附录9：返回参数示例说明"/>
      <w:r>
        <w:rPr>
          <w:rFonts w:hint="eastAsia" w:ascii="微软雅黑" w:hAnsi="微软雅黑" w:eastAsia="微软雅黑" w:cs="微软雅黑"/>
        </w:rPr>
        <w:t>附录12：返回参数示例说明</w:t>
      </w:r>
      <w:bookmarkEnd w:id="281"/>
      <w:bookmarkEnd w:id="282"/>
      <w:bookmarkEnd w:id="283"/>
    </w:p>
    <w:p>
      <w:pPr>
        <w:spacing w:before="156" w:beforeLines="50" w:after="156" w:afterLines="50" w:line="0" w:lineRule="atLeast"/>
        <w:rPr>
          <w:rFonts w:ascii="微软雅黑" w:hAnsi="微软雅黑" w:eastAsia="微软雅黑" w:cs="微软雅黑"/>
        </w:rPr>
      </w:pPr>
      <w:r>
        <w:rPr>
          <w:rFonts w:hint="eastAsia" w:ascii="微软雅黑" w:hAnsi="微软雅黑" w:eastAsia="微软雅黑" w:cs="微软雅黑"/>
        </w:rPr>
        <w:t>返回参数示例：</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JSON中data参数明文内容：</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"data": {</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"result": "E0001",--除S0000表示成功标识，其它都为错误标识</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"message": "BASE64(错误信息)"</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"noise": "ibuaiVcKdpRxkhJAXXXX",</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"sign": "E9324CF02F95CB072B6DBCEA33E725C3"</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JSON中data参数最终返回内容，base64：</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"data": "ewogICAgICAgICJlQmlsbEJhdGNoQ29kZSI6ICIwMTAwMDAwMTAwIiwKICAgICAgICAiZUJpbGxObyI6ICIwMDAwMDAwMDAxIiwKICAgICAgICAiZVJhbmRvbSI6ICJERkc0NTYiCiB9",</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"noise": "ibuaiVcKdpRxkhJAXXXX",</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 xml:space="preserve">    "sign": "E9324CF02F95CB072B6DBCEA33E725C3"</w:t>
      </w:r>
    </w:p>
    <w:p>
      <w:pPr>
        <w:pStyle w:val="92"/>
        <w:spacing w:before="156" w:beforeLines="50" w:after="156" w:afterLines="50" w:line="0" w:lineRule="atLeast"/>
        <w:ind w:firstLine="0" w:firstLineChars="0"/>
        <w:rPr>
          <w:rFonts w:ascii="微软雅黑" w:hAnsi="微软雅黑" w:eastAsia="微软雅黑" w:cs="微软雅黑"/>
        </w:rPr>
      </w:pPr>
      <w:r>
        <w:rPr>
          <w:rFonts w:hint="eastAsia" w:ascii="微软雅黑" w:hAnsi="微软雅黑" w:eastAsia="微软雅黑" w:cs="微软雅黑"/>
        </w:rPr>
        <w:t>}</w:t>
      </w:r>
    </w:p>
    <w:sectPr>
      <w:headerReference r:id="rId12" w:type="first"/>
      <w:footerReference r:id="rId15" w:type="first"/>
      <w:headerReference r:id="rId10" w:type="default"/>
      <w:footerReference r:id="rId13" w:type="default"/>
      <w:headerReference r:id="rId11" w:type="even"/>
      <w:footerReference r:id="rId14"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rPr>
        <w:rStyle w:val="39"/>
      </w:rPr>
    </w:pPr>
    <w:r>
      <w:rPr>
        <w:rStyle w:val="39"/>
      </w:rPr>
      <w:fldChar w:fldCharType="begin"/>
    </w:r>
    <w:r>
      <w:rPr>
        <w:rStyle w:val="39"/>
      </w:rPr>
      <w:instrText xml:space="preserve">PAGE  </w:instrText>
    </w:r>
    <w:r>
      <w:rPr>
        <w:rStyle w:val="39"/>
      </w:rPr>
      <w:fldChar w:fldCharType="end"/>
    </w:r>
  </w:p>
  <w:p>
    <w:pPr>
      <w:pStyle w:val="2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5"/>
      <w:tblW w:w="8536" w:type="dxa"/>
      <w:tblInd w:w="0" w:type="dxa"/>
      <w:tblLayout w:type="fixed"/>
      <w:tblCellMar>
        <w:top w:w="72" w:type="dxa"/>
        <w:left w:w="115" w:type="dxa"/>
        <w:bottom w:w="72" w:type="dxa"/>
        <w:right w:w="115" w:type="dxa"/>
      </w:tblCellMar>
    </w:tblPr>
    <w:tblGrid>
      <w:gridCol w:w="7682"/>
      <w:gridCol w:w="854"/>
    </w:tblGrid>
    <w:tr>
      <w:tblPrEx>
        <w:tblCellMar>
          <w:top w:w="72" w:type="dxa"/>
          <w:left w:w="115" w:type="dxa"/>
          <w:bottom w:w="72" w:type="dxa"/>
          <w:right w:w="115" w:type="dxa"/>
        </w:tblCellMar>
      </w:tblPrEx>
      <w:tc>
        <w:tcPr>
          <w:tcW w:w="7682" w:type="dxa"/>
          <w:tcBorders>
            <w:top w:val="single" w:color="000000" w:sz="4" w:space="0"/>
          </w:tcBorders>
          <w:shd w:val="clear" w:color="auto" w:fill="auto"/>
        </w:tcPr>
        <w:p>
          <w:pPr>
            <w:pStyle w:val="23"/>
            <w:ind w:left="210" w:right="210"/>
            <w:jc w:val="right"/>
          </w:pPr>
          <w:r>
            <w:rPr>
              <w:rFonts w:hint="eastAsia"/>
              <w:b/>
            </w:rPr>
            <w:t>福建博思软件股份有限公司</w:t>
          </w:r>
        </w:p>
      </w:tc>
      <w:tc>
        <w:tcPr>
          <w:tcW w:w="854" w:type="dxa"/>
          <w:tcBorders>
            <w:top w:val="single" w:color="ED7D31" w:sz="4" w:space="0"/>
          </w:tcBorders>
          <w:shd w:val="clear" w:color="auto" w:fill="C45911"/>
        </w:tcPr>
        <w:p>
          <w:pPr>
            <w:pStyle w:val="24"/>
            <w:ind w:left="210" w:right="210"/>
            <w:rPr>
              <w:color w:val="FFFFFF"/>
            </w:rPr>
          </w:pPr>
          <w:r>
            <w:fldChar w:fldCharType="begin"/>
          </w:r>
          <w:r>
            <w:instrText xml:space="preserve">PAGE   \* MERGEFORMAT</w:instrText>
          </w:r>
          <w:r>
            <w:fldChar w:fldCharType="separate"/>
          </w:r>
          <w:r>
            <w:rPr>
              <w:color w:val="FFFFFF"/>
              <w:lang w:val="zh-CN"/>
            </w:rPr>
            <w:t>220</w:t>
          </w:r>
          <w:r>
            <w:rPr>
              <w:color w:val="FFFFFF"/>
            </w:rPr>
            <w:fldChar w:fldCharType="end"/>
          </w:r>
        </w:p>
      </w:tc>
    </w:tr>
  </w:tbl>
  <w:p>
    <w:pPr>
      <w:pStyle w:val="23"/>
      <w:ind w:left="210" w:right="2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left="210" w:right="21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left="210" w:right="2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single" w:color="auto" w:sz="4" w:space="1"/>
      </w:pBdr>
      <w:jc w:val="both"/>
    </w:pPr>
    <w:r>
      <w:drawing>
        <wp:inline distT="0" distB="0" distL="0" distR="0">
          <wp:extent cx="822960" cy="274320"/>
          <wp:effectExtent l="0" t="0" r="0" b="11430"/>
          <wp:docPr id="11" name="图片 1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
                    <a:extLst>
                      <a:ext uri="{28A0092B-C50C-407E-A947-70E740481C1C}">
                        <a14:useLocalDpi xmlns:a14="http://schemas.microsoft.com/office/drawing/2010/main" val="0"/>
                      </a:ext>
                    </a:extLst>
                  </a:blip>
                  <a:srcRect b="24335"/>
                  <a:stretch>
                    <a:fillRect/>
                  </a:stretch>
                </pic:blipFill>
                <pic:spPr>
                  <a:xfrm>
                    <a:off x="0" y="0"/>
                    <a:ext cx="822960" cy="27432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rPr>
        <w:rFonts w:hint="eastAsia"/>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175895</wp:posOffset>
              </wp:positionV>
              <wp:extent cx="5257800" cy="0"/>
              <wp:effectExtent l="0" t="0" r="0" b="0"/>
              <wp:wrapNone/>
              <wp:docPr id="3" name="Line 8"/>
              <wp:cNvGraphicFramePr/>
              <a:graphic xmlns:a="http://schemas.openxmlformats.org/drawingml/2006/main">
                <a:graphicData uri="http://schemas.microsoft.com/office/word/2010/wordprocessingShape">
                  <wps:wsp>
                    <wps:cNvCnPr>
                      <a:cxnSpLocks noChangeShapeType="1"/>
                    </wps:cNvCnPr>
                    <wps:spPr bwMode="auto">
                      <a:xfrm>
                        <a:off x="0" y="0"/>
                        <a:ext cx="5257800" cy="0"/>
                      </a:xfrm>
                      <a:prstGeom prst="line">
                        <a:avLst/>
                      </a:prstGeom>
                      <a:noFill/>
                      <a:ln w="9525">
                        <a:solidFill>
                          <a:srgbClr val="000000"/>
                        </a:solidFill>
                        <a:round/>
                      </a:ln>
                      <a:effectLst/>
                    </wps:spPr>
                    <wps:bodyPr/>
                  </wps:wsp>
                </a:graphicData>
              </a:graphic>
            </wp:anchor>
          </w:drawing>
        </mc:Choice>
        <mc:Fallback>
          <w:pict>
            <v:line id="Line 8" o:spid="_x0000_s1026" o:spt="20" style="position:absolute;left:0pt;margin-left:0pt;margin-top:13.85pt;height:0pt;width:414pt;z-index:251659264;mso-width-relative:page;mso-height-relative:page;" filled="f" stroked="t" coordsize="21600,21600" o:gfxdata="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JvmpOtMAAAAGAQAADwAAAAAAAAABACAAAAAiAAAAZHJzL2Rv&#10;d25yZXYueG1sUEsBAhQAFAAAAAgAh07iQGfIoEPNAQAArQMAAA4AAAAAAAAAAQAgAAAAIgEAAGRy&#10;cy9lMm9Eb2MueG1sUEsFBgAAAAAGAAYAWQEAAGEFAAAAAA==&#10;">
              <v:fill on="f" focussize="0,0"/>
              <v:stroke color="#000000" joinstyle="round"/>
              <v:imagedata o:title=""/>
              <o:lock v:ext="edit" aspectratio="f"/>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left="210" w:right="210"/>
      <w:jc w:val="both"/>
    </w:pPr>
    <w:r>
      <w:rPr>
        <w:rFonts w:ascii="Cambria" w:hAnsi="Cambria"/>
        <w:caps/>
      </w:rPr>
      <w:drawing>
        <wp:inline distT="0" distB="0" distL="0" distR="0">
          <wp:extent cx="822960" cy="2743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
                    <a:extLst>
                      <a:ext uri="{28A0092B-C50C-407E-A947-70E740481C1C}">
                        <a14:useLocalDpi xmlns:a14="http://schemas.microsoft.com/office/drawing/2010/main" val="0"/>
                      </a:ext>
                    </a:extLst>
                  </a:blip>
                  <a:srcRect b="24335"/>
                  <a:stretch>
                    <a:fillRect/>
                  </a:stretch>
                </pic:blipFill>
                <pic:spPr>
                  <a:xfrm>
                    <a:off x="0" y="0"/>
                    <a:ext cx="822960" cy="27432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left="210" w:right="21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left="210" w:right="21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A077B9"/>
    <w:multiLevelType w:val="singleLevel"/>
    <w:tmpl w:val="A9A077B9"/>
    <w:lvl w:ilvl="0" w:tentative="0">
      <w:start w:val="1"/>
      <w:numFmt w:val="decimalEnclosedCircleChinese"/>
      <w:suff w:val="nothing"/>
      <w:lvlText w:val="%1　"/>
      <w:lvlJc w:val="left"/>
      <w:pPr>
        <w:ind w:left="0" w:firstLine="400"/>
      </w:pPr>
      <w:rPr>
        <w:rFonts w:hint="eastAsia"/>
      </w:rPr>
    </w:lvl>
  </w:abstractNum>
  <w:abstractNum w:abstractNumId="1">
    <w:nsid w:val="ADC70EB8"/>
    <w:multiLevelType w:val="singleLevel"/>
    <w:tmpl w:val="ADC70EB8"/>
    <w:lvl w:ilvl="0" w:tentative="0">
      <w:start w:val="1"/>
      <w:numFmt w:val="bullet"/>
      <w:lvlText w:val=""/>
      <w:lvlJc w:val="left"/>
      <w:pPr>
        <w:ind w:left="420" w:hanging="420"/>
      </w:pPr>
      <w:rPr>
        <w:rFonts w:hint="default" w:ascii="Wingdings" w:hAnsi="Wingdings"/>
      </w:rPr>
    </w:lvl>
  </w:abstractNum>
  <w:abstractNum w:abstractNumId="2">
    <w:nsid w:val="BF1452F5"/>
    <w:multiLevelType w:val="singleLevel"/>
    <w:tmpl w:val="BF1452F5"/>
    <w:lvl w:ilvl="0" w:tentative="0">
      <w:start w:val="1"/>
      <w:numFmt w:val="bullet"/>
      <w:lvlText w:val=""/>
      <w:lvlJc w:val="left"/>
      <w:pPr>
        <w:ind w:left="420" w:hanging="420"/>
      </w:pPr>
      <w:rPr>
        <w:rFonts w:hint="default" w:ascii="Wingdings" w:hAnsi="Wingdings"/>
      </w:rPr>
    </w:lvl>
  </w:abstractNum>
  <w:abstractNum w:abstractNumId="3">
    <w:nsid w:val="EB142EED"/>
    <w:multiLevelType w:val="multilevel"/>
    <w:tmpl w:val="EB142EED"/>
    <w:lvl w:ilvl="0" w:tentative="0">
      <w:start w:val="1"/>
      <w:numFmt w:val="decimal"/>
      <w:lvlText w:val="%1、"/>
      <w:lvlJc w:val="left"/>
      <w:pPr>
        <w:ind w:left="360" w:hanging="360"/>
      </w:pPr>
      <w:rPr>
        <w:rFonts w:hint="default" w:asciiTheme="minorHAnsi" w:hAnsiTheme="minorHAns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F06A2027"/>
    <w:multiLevelType w:val="multilevel"/>
    <w:tmpl w:val="F06A2027"/>
    <w:lvl w:ilvl="0" w:tentative="0">
      <w:start w:val="1"/>
      <w:numFmt w:val="decimal"/>
      <w:lvlText w:val="%1"/>
      <w:lvlJc w:val="left"/>
      <w:pPr>
        <w:ind w:left="432" w:hanging="432"/>
      </w:pPr>
    </w:lvl>
    <w:lvl w:ilvl="1" w:tentative="0">
      <w:start w:val="1"/>
      <w:numFmt w:val="decimal"/>
      <w:lvlText w:val="%1.%2"/>
      <w:lvlJc w:val="left"/>
      <w:pPr>
        <w:ind w:left="576" w:hanging="576"/>
      </w:pPr>
      <w:rPr>
        <w:sz w:val="30"/>
        <w:szCs w:val="30"/>
      </w:rPr>
    </w:lvl>
    <w:lvl w:ilvl="2" w:tentative="0">
      <w:start w:val="1"/>
      <w:numFmt w:val="decimal"/>
      <w:pStyle w:val="107"/>
      <w:lvlText w:val="%1.%2.%3"/>
      <w:lvlJc w:val="left"/>
      <w:pPr>
        <w:ind w:left="720" w:hanging="720"/>
      </w:pPr>
      <w:rPr>
        <w:sz w:val="30"/>
        <w:szCs w:val="30"/>
      </w:r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5">
    <w:nsid w:val="004C1564"/>
    <w:multiLevelType w:val="multilevel"/>
    <w:tmpl w:val="004C1564"/>
    <w:lvl w:ilvl="0" w:tentative="0">
      <w:start w:val="1"/>
      <w:numFmt w:val="bullet"/>
      <w:pStyle w:val="93"/>
      <w:lvlText w:val=""/>
      <w:lvlJc w:val="left"/>
      <w:pPr>
        <w:ind w:left="0" w:hanging="420"/>
      </w:pPr>
      <w:rPr>
        <w:rFonts w:hint="default" w:ascii="Wingdings" w:hAnsi="Wingdings"/>
      </w:rPr>
    </w:lvl>
    <w:lvl w:ilvl="1" w:tentative="0">
      <w:start w:val="1"/>
      <w:numFmt w:val="bullet"/>
      <w:lvlText w:val=""/>
      <w:lvlJc w:val="left"/>
      <w:pPr>
        <w:ind w:left="420" w:hanging="420"/>
      </w:pPr>
      <w:rPr>
        <w:rFonts w:hint="default" w:ascii="Wingdings" w:hAnsi="Wingdings"/>
      </w:rPr>
    </w:lvl>
    <w:lvl w:ilvl="2" w:tentative="0">
      <w:start w:val="1"/>
      <w:numFmt w:val="bullet"/>
      <w:lvlText w:val=""/>
      <w:lvlJc w:val="left"/>
      <w:pPr>
        <w:ind w:left="840" w:hanging="420"/>
      </w:pPr>
      <w:rPr>
        <w:rFonts w:hint="default" w:ascii="Wingdings" w:hAnsi="Wingdings"/>
      </w:rPr>
    </w:lvl>
    <w:lvl w:ilvl="3" w:tentative="0">
      <w:start w:val="1"/>
      <w:numFmt w:val="bullet"/>
      <w:lvlText w:val=""/>
      <w:lvlJc w:val="left"/>
      <w:pPr>
        <w:ind w:left="1260" w:hanging="420"/>
      </w:pPr>
      <w:rPr>
        <w:rFonts w:hint="default" w:ascii="Wingdings" w:hAnsi="Wingdings"/>
      </w:rPr>
    </w:lvl>
    <w:lvl w:ilvl="4" w:tentative="0">
      <w:start w:val="1"/>
      <w:numFmt w:val="bullet"/>
      <w:lvlText w:val=""/>
      <w:lvlJc w:val="left"/>
      <w:pPr>
        <w:ind w:left="1680" w:hanging="420"/>
      </w:pPr>
      <w:rPr>
        <w:rFonts w:hint="default" w:ascii="Wingdings" w:hAnsi="Wingdings"/>
      </w:rPr>
    </w:lvl>
    <w:lvl w:ilvl="5" w:tentative="0">
      <w:start w:val="1"/>
      <w:numFmt w:val="bullet"/>
      <w:lvlText w:val=""/>
      <w:lvlJc w:val="left"/>
      <w:pPr>
        <w:ind w:left="2100" w:hanging="420"/>
      </w:pPr>
      <w:rPr>
        <w:rFonts w:hint="default" w:ascii="Wingdings" w:hAnsi="Wingdings"/>
      </w:rPr>
    </w:lvl>
    <w:lvl w:ilvl="6" w:tentative="0">
      <w:start w:val="1"/>
      <w:numFmt w:val="bullet"/>
      <w:lvlText w:val=""/>
      <w:lvlJc w:val="left"/>
      <w:pPr>
        <w:ind w:left="2520" w:hanging="420"/>
      </w:pPr>
      <w:rPr>
        <w:rFonts w:hint="default" w:ascii="Wingdings" w:hAnsi="Wingdings"/>
      </w:rPr>
    </w:lvl>
    <w:lvl w:ilvl="7" w:tentative="0">
      <w:start w:val="1"/>
      <w:numFmt w:val="bullet"/>
      <w:lvlText w:val=""/>
      <w:lvlJc w:val="left"/>
      <w:pPr>
        <w:ind w:left="2940" w:hanging="420"/>
      </w:pPr>
      <w:rPr>
        <w:rFonts w:hint="default" w:ascii="Wingdings" w:hAnsi="Wingdings"/>
      </w:rPr>
    </w:lvl>
    <w:lvl w:ilvl="8" w:tentative="0">
      <w:start w:val="1"/>
      <w:numFmt w:val="bullet"/>
      <w:lvlText w:val=""/>
      <w:lvlJc w:val="left"/>
      <w:pPr>
        <w:ind w:left="3360" w:hanging="420"/>
      </w:pPr>
      <w:rPr>
        <w:rFonts w:hint="default" w:ascii="Wingdings" w:hAnsi="Wingdings"/>
      </w:rPr>
    </w:lvl>
  </w:abstractNum>
  <w:abstractNum w:abstractNumId="6">
    <w:nsid w:val="032330D5"/>
    <w:multiLevelType w:val="singleLevel"/>
    <w:tmpl w:val="032330D5"/>
    <w:lvl w:ilvl="0" w:tentative="0">
      <w:start w:val="1"/>
      <w:numFmt w:val="bullet"/>
      <w:lvlText w:val=""/>
      <w:lvlJc w:val="left"/>
      <w:pPr>
        <w:ind w:left="420" w:hanging="420"/>
      </w:pPr>
      <w:rPr>
        <w:rFonts w:hint="default" w:ascii="Wingdings" w:hAnsi="Wingdings"/>
      </w:rPr>
    </w:lvl>
  </w:abstractNum>
  <w:abstractNum w:abstractNumId="7">
    <w:nsid w:val="1482775B"/>
    <w:multiLevelType w:val="multilevel"/>
    <w:tmpl w:val="1482775B"/>
    <w:lvl w:ilvl="0" w:tentative="0">
      <w:start w:val="1"/>
      <w:numFmt w:val="decimal"/>
      <w:pStyle w:val="2"/>
      <w:lvlText w:val="%1"/>
      <w:lvlJc w:val="left"/>
      <w:pPr>
        <w:ind w:left="432" w:hanging="432"/>
      </w:pPr>
    </w:lvl>
    <w:lvl w:ilvl="1" w:tentative="0">
      <w:start w:val="1"/>
      <w:numFmt w:val="decimal"/>
      <w:pStyle w:val="4"/>
      <w:lvlText w:val="%1.%2"/>
      <w:lvlJc w:val="left"/>
      <w:pPr>
        <w:ind w:left="576" w:hanging="576"/>
      </w:pPr>
    </w:lvl>
    <w:lvl w:ilvl="2" w:tentative="0">
      <w:start w:val="1"/>
      <w:numFmt w:val="decimal"/>
      <w:pStyle w:val="5"/>
      <w:lvlText w:val="%1.%2.%3"/>
      <w:lvlJc w:val="left"/>
      <w:pPr>
        <w:ind w:left="720" w:hanging="720"/>
      </w:pPr>
    </w:lvl>
    <w:lvl w:ilvl="3" w:tentative="0">
      <w:start w:val="1"/>
      <w:numFmt w:val="decimal"/>
      <w:pStyle w:val="6"/>
      <w:lvlText w:val="%1.%2.%3.%4"/>
      <w:lvlJc w:val="left"/>
      <w:pPr>
        <w:ind w:left="864" w:hanging="864"/>
      </w:pPr>
    </w:lvl>
    <w:lvl w:ilvl="4" w:tentative="0">
      <w:start w:val="1"/>
      <w:numFmt w:val="decimal"/>
      <w:pStyle w:val="7"/>
      <w:lvlText w:val="%1.%2.%3.%4.%5"/>
      <w:lvlJc w:val="left"/>
      <w:pPr>
        <w:ind w:left="2993" w:hanging="1008"/>
      </w:pPr>
    </w:lvl>
    <w:lvl w:ilvl="5" w:tentative="0">
      <w:start w:val="1"/>
      <w:numFmt w:val="decimal"/>
      <w:pStyle w:val="8"/>
      <w:lvlText w:val="%1.%2.%3.%4.%5.%6"/>
      <w:lvlJc w:val="left"/>
      <w:pPr>
        <w:ind w:left="1152" w:hanging="1152"/>
      </w:pPr>
    </w:lvl>
    <w:lvl w:ilvl="6" w:tentative="0">
      <w:start w:val="1"/>
      <w:numFmt w:val="decimal"/>
      <w:pStyle w:val="9"/>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8">
    <w:nsid w:val="26E97832"/>
    <w:multiLevelType w:val="multilevel"/>
    <w:tmpl w:val="26E97832"/>
    <w:lvl w:ilvl="0" w:tentative="0">
      <w:start w:val="0"/>
      <w:numFmt w:val="bullet"/>
      <w:lvlText w:val="◆"/>
      <w:lvlJc w:val="left"/>
      <w:pPr>
        <w:ind w:left="840" w:hanging="360"/>
      </w:pPr>
      <w:rPr>
        <w:rFonts w:hint="eastAsia" w:ascii="宋体" w:hAnsi="宋体" w:eastAsia="宋体" w:cstheme="minorBidi"/>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9">
    <w:nsid w:val="30F55B03"/>
    <w:multiLevelType w:val="multilevel"/>
    <w:tmpl w:val="30F55B03"/>
    <w:lvl w:ilvl="0" w:tentative="0">
      <w:start w:val="1"/>
      <w:numFmt w:val="decimal"/>
      <w:lvlText w:val="%1"/>
      <w:lvlJc w:val="left"/>
      <w:pPr>
        <w:ind w:left="432" w:hanging="432"/>
      </w:pPr>
      <w:rPr>
        <w:rFonts w:hint="eastAsia"/>
      </w:rPr>
    </w:lvl>
    <w:lvl w:ilvl="1" w:tentative="0">
      <w:start w:val="1"/>
      <w:numFmt w:val="decimal"/>
      <w:pStyle w:val="46"/>
      <w:lvlText w:val="%1.%2"/>
      <w:lvlJc w:val="left"/>
      <w:pPr>
        <w:ind w:left="576" w:hanging="576"/>
      </w:pPr>
      <w:rPr>
        <w:rFonts w:hint="eastAsia"/>
      </w:rPr>
    </w:lvl>
    <w:lvl w:ilvl="2" w:tentative="0">
      <w:start w:val="1"/>
      <w:numFmt w:val="decimal"/>
      <w:lvlText w:val="%1.%2.%3"/>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ligatures w14:val="none"/>
        <w14:numForm w14:val="default"/>
        <w14:numSpacing w14:val="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10">
    <w:nsid w:val="3C20B34A"/>
    <w:multiLevelType w:val="multilevel"/>
    <w:tmpl w:val="3C20B34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4F6F0F7B"/>
    <w:multiLevelType w:val="multilevel"/>
    <w:tmpl w:val="4F6F0F7B"/>
    <w:lvl w:ilvl="0" w:tentative="0">
      <w:start w:val="1"/>
      <w:numFmt w:val="decimal"/>
      <w:lvlText w:val="%1、"/>
      <w:lvlJc w:val="left"/>
      <w:pPr>
        <w:ind w:left="360" w:hanging="360"/>
      </w:pPr>
      <w:rPr>
        <w:rFonts w:hint="default" w:asciiTheme="minorHAnsi" w:hAnsiTheme="minorHAnsi"/>
        <w:color w:val="auto"/>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2">
    <w:nsid w:val="524A2B4A"/>
    <w:multiLevelType w:val="singleLevel"/>
    <w:tmpl w:val="524A2B4A"/>
    <w:lvl w:ilvl="0" w:tentative="0">
      <w:start w:val="1"/>
      <w:numFmt w:val="bullet"/>
      <w:lvlText w:val=""/>
      <w:lvlJc w:val="left"/>
      <w:pPr>
        <w:ind w:left="420" w:hanging="420"/>
      </w:pPr>
      <w:rPr>
        <w:rFonts w:hint="default" w:ascii="Wingdings" w:hAnsi="Wingdings"/>
      </w:rPr>
    </w:lvl>
  </w:abstractNum>
  <w:abstractNum w:abstractNumId="13">
    <w:nsid w:val="5965E1CE"/>
    <w:multiLevelType w:val="singleLevel"/>
    <w:tmpl w:val="5965E1CE"/>
    <w:lvl w:ilvl="0" w:tentative="0">
      <w:start w:val="1"/>
      <w:numFmt w:val="decimal"/>
      <w:pStyle w:val="12"/>
      <w:lvlText w:val="%1."/>
      <w:lvlJc w:val="left"/>
      <w:pPr>
        <w:tabs>
          <w:tab w:val="left" w:pos="360"/>
        </w:tabs>
        <w:ind w:left="360" w:hanging="360"/>
      </w:pPr>
    </w:lvl>
  </w:abstractNum>
  <w:abstractNum w:abstractNumId="14">
    <w:nsid w:val="740546D5"/>
    <w:multiLevelType w:val="multilevel"/>
    <w:tmpl w:val="740546D5"/>
    <w:lvl w:ilvl="0" w:tentative="0">
      <w:start w:val="1"/>
      <w:numFmt w:val="decimal"/>
      <w:lvlText w:val="%1、"/>
      <w:lvlJc w:val="left"/>
      <w:pPr>
        <w:ind w:left="360" w:hanging="360"/>
      </w:pPr>
      <w:rPr>
        <w:rFonts w:hint="default" w:asciiTheme="minorHAnsi" w:hAnsiTheme="minorHAns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
  </w:num>
  <w:num w:numId="2">
    <w:abstractNumId w:val="13"/>
  </w:num>
  <w:num w:numId="3">
    <w:abstractNumId w:val="9"/>
  </w:num>
  <w:num w:numId="4">
    <w:abstractNumId w:val="5"/>
  </w:num>
  <w:num w:numId="5">
    <w:abstractNumId w:val="4"/>
  </w:num>
  <w:num w:numId="6">
    <w:abstractNumId w:val="14"/>
  </w:num>
  <w:num w:numId="7">
    <w:abstractNumId w:val="3"/>
  </w:num>
  <w:num w:numId="8">
    <w:abstractNumId w:val="11"/>
  </w:num>
  <w:num w:numId="9">
    <w:abstractNumId w:val="8"/>
  </w:num>
  <w:num w:numId="10">
    <w:abstractNumId w:val="1"/>
  </w:num>
  <w:num w:numId="11">
    <w:abstractNumId w:val="10"/>
  </w:num>
  <w:num w:numId="12">
    <w:abstractNumId w:val="2"/>
  </w:num>
  <w:num w:numId="13">
    <w:abstractNumId w:val="6"/>
  </w:num>
  <w:num w:numId="14">
    <w:abstractNumId w:val="0"/>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hideSpellingErrors/>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U1ZTlhYmE2Yjc4ZDQyNGMyNmI1ZmYzYTc5MjE3MzkifQ=="/>
  </w:docVars>
  <w:rsids>
    <w:rsidRoot w:val="00172A27"/>
    <w:rsid w:val="00003C62"/>
    <w:rsid w:val="00005C30"/>
    <w:rsid w:val="00006110"/>
    <w:rsid w:val="000075EF"/>
    <w:rsid w:val="00007C27"/>
    <w:rsid w:val="00011F96"/>
    <w:rsid w:val="000136C7"/>
    <w:rsid w:val="00013B8D"/>
    <w:rsid w:val="000178E7"/>
    <w:rsid w:val="000179D0"/>
    <w:rsid w:val="00017DE9"/>
    <w:rsid w:val="00021DD1"/>
    <w:rsid w:val="0003009B"/>
    <w:rsid w:val="000374E4"/>
    <w:rsid w:val="000401E2"/>
    <w:rsid w:val="00040A0F"/>
    <w:rsid w:val="00047A8D"/>
    <w:rsid w:val="0005275A"/>
    <w:rsid w:val="00054734"/>
    <w:rsid w:val="0006384C"/>
    <w:rsid w:val="000650EA"/>
    <w:rsid w:val="000661B6"/>
    <w:rsid w:val="00066A84"/>
    <w:rsid w:val="00066E31"/>
    <w:rsid w:val="000713CA"/>
    <w:rsid w:val="00073857"/>
    <w:rsid w:val="00074B27"/>
    <w:rsid w:val="00081C2E"/>
    <w:rsid w:val="00083F63"/>
    <w:rsid w:val="00084165"/>
    <w:rsid w:val="00085A6C"/>
    <w:rsid w:val="00094DD6"/>
    <w:rsid w:val="00095675"/>
    <w:rsid w:val="0009575A"/>
    <w:rsid w:val="00096E79"/>
    <w:rsid w:val="000A1EE0"/>
    <w:rsid w:val="000A26B1"/>
    <w:rsid w:val="000A708B"/>
    <w:rsid w:val="000B005B"/>
    <w:rsid w:val="000B24FA"/>
    <w:rsid w:val="000C2FEC"/>
    <w:rsid w:val="000C33E0"/>
    <w:rsid w:val="000C342C"/>
    <w:rsid w:val="000D2A83"/>
    <w:rsid w:val="000D3D22"/>
    <w:rsid w:val="000D462D"/>
    <w:rsid w:val="000E1E0B"/>
    <w:rsid w:val="000E2A50"/>
    <w:rsid w:val="000E3224"/>
    <w:rsid w:val="000E4EE8"/>
    <w:rsid w:val="000E727B"/>
    <w:rsid w:val="000F10EF"/>
    <w:rsid w:val="000F16C1"/>
    <w:rsid w:val="000F3C5B"/>
    <w:rsid w:val="000F428E"/>
    <w:rsid w:val="00102E38"/>
    <w:rsid w:val="00103CFF"/>
    <w:rsid w:val="0010435A"/>
    <w:rsid w:val="00104F69"/>
    <w:rsid w:val="00106082"/>
    <w:rsid w:val="00110A30"/>
    <w:rsid w:val="00111A88"/>
    <w:rsid w:val="00113604"/>
    <w:rsid w:val="00113EB9"/>
    <w:rsid w:val="001143F1"/>
    <w:rsid w:val="00115547"/>
    <w:rsid w:val="00117156"/>
    <w:rsid w:val="00120368"/>
    <w:rsid w:val="0012208D"/>
    <w:rsid w:val="001242B9"/>
    <w:rsid w:val="00126D1B"/>
    <w:rsid w:val="001357C6"/>
    <w:rsid w:val="001429A3"/>
    <w:rsid w:val="0014584F"/>
    <w:rsid w:val="00145B7E"/>
    <w:rsid w:val="00145CDE"/>
    <w:rsid w:val="00146081"/>
    <w:rsid w:val="00150379"/>
    <w:rsid w:val="00152E9F"/>
    <w:rsid w:val="00163B36"/>
    <w:rsid w:val="00163D64"/>
    <w:rsid w:val="0017093C"/>
    <w:rsid w:val="00172618"/>
    <w:rsid w:val="00172A27"/>
    <w:rsid w:val="0018232B"/>
    <w:rsid w:val="00183CAB"/>
    <w:rsid w:val="0018660A"/>
    <w:rsid w:val="00191426"/>
    <w:rsid w:val="00191FFF"/>
    <w:rsid w:val="00195C83"/>
    <w:rsid w:val="00195F9D"/>
    <w:rsid w:val="0019766C"/>
    <w:rsid w:val="001A668D"/>
    <w:rsid w:val="001A6852"/>
    <w:rsid w:val="001A7729"/>
    <w:rsid w:val="001B2C69"/>
    <w:rsid w:val="001B2F78"/>
    <w:rsid w:val="001B58C8"/>
    <w:rsid w:val="001B7144"/>
    <w:rsid w:val="001C2C63"/>
    <w:rsid w:val="001C31BA"/>
    <w:rsid w:val="001C4898"/>
    <w:rsid w:val="001C48A6"/>
    <w:rsid w:val="001C6115"/>
    <w:rsid w:val="001D1F6A"/>
    <w:rsid w:val="001D2F5F"/>
    <w:rsid w:val="001D3867"/>
    <w:rsid w:val="001D7A9D"/>
    <w:rsid w:val="001E201E"/>
    <w:rsid w:val="001E30E5"/>
    <w:rsid w:val="001E31C2"/>
    <w:rsid w:val="001F4B77"/>
    <w:rsid w:val="001F53DD"/>
    <w:rsid w:val="001F7CF0"/>
    <w:rsid w:val="002044D1"/>
    <w:rsid w:val="002062DB"/>
    <w:rsid w:val="0020750E"/>
    <w:rsid w:val="0021078A"/>
    <w:rsid w:val="002139B6"/>
    <w:rsid w:val="002152F4"/>
    <w:rsid w:val="00216BA4"/>
    <w:rsid w:val="00217547"/>
    <w:rsid w:val="00217A8B"/>
    <w:rsid w:val="00221025"/>
    <w:rsid w:val="002210A1"/>
    <w:rsid w:val="00222EC4"/>
    <w:rsid w:val="00225CEB"/>
    <w:rsid w:val="00230884"/>
    <w:rsid w:val="00236C69"/>
    <w:rsid w:val="00236EA4"/>
    <w:rsid w:val="00237856"/>
    <w:rsid w:val="0024068D"/>
    <w:rsid w:val="00244375"/>
    <w:rsid w:val="00245D26"/>
    <w:rsid w:val="00251266"/>
    <w:rsid w:val="002521AA"/>
    <w:rsid w:val="00252642"/>
    <w:rsid w:val="002543A7"/>
    <w:rsid w:val="00254E79"/>
    <w:rsid w:val="00256746"/>
    <w:rsid w:val="0026084F"/>
    <w:rsid w:val="00265006"/>
    <w:rsid w:val="00265FCC"/>
    <w:rsid w:val="0026681C"/>
    <w:rsid w:val="00266BC1"/>
    <w:rsid w:val="002673AD"/>
    <w:rsid w:val="0027194A"/>
    <w:rsid w:val="002757B0"/>
    <w:rsid w:val="00277632"/>
    <w:rsid w:val="00280493"/>
    <w:rsid w:val="00280E47"/>
    <w:rsid w:val="00287B27"/>
    <w:rsid w:val="00294A3F"/>
    <w:rsid w:val="0029512B"/>
    <w:rsid w:val="002961B1"/>
    <w:rsid w:val="002A12D2"/>
    <w:rsid w:val="002A1F33"/>
    <w:rsid w:val="002A47CA"/>
    <w:rsid w:val="002A7914"/>
    <w:rsid w:val="002B1775"/>
    <w:rsid w:val="002B1BA1"/>
    <w:rsid w:val="002B4423"/>
    <w:rsid w:val="002B512B"/>
    <w:rsid w:val="002B6CAD"/>
    <w:rsid w:val="002C373C"/>
    <w:rsid w:val="002D0586"/>
    <w:rsid w:val="002D540A"/>
    <w:rsid w:val="002D661C"/>
    <w:rsid w:val="002E2442"/>
    <w:rsid w:val="002E3ABB"/>
    <w:rsid w:val="002E6F38"/>
    <w:rsid w:val="002F2E26"/>
    <w:rsid w:val="002F47C3"/>
    <w:rsid w:val="002F5D37"/>
    <w:rsid w:val="002F718E"/>
    <w:rsid w:val="002F78F1"/>
    <w:rsid w:val="002F7C6C"/>
    <w:rsid w:val="002F7CA0"/>
    <w:rsid w:val="0030296A"/>
    <w:rsid w:val="003032D4"/>
    <w:rsid w:val="00303F34"/>
    <w:rsid w:val="00304B18"/>
    <w:rsid w:val="00305102"/>
    <w:rsid w:val="003100FE"/>
    <w:rsid w:val="00311437"/>
    <w:rsid w:val="0031144F"/>
    <w:rsid w:val="00315F03"/>
    <w:rsid w:val="0031615A"/>
    <w:rsid w:val="00316530"/>
    <w:rsid w:val="003224DA"/>
    <w:rsid w:val="003236CC"/>
    <w:rsid w:val="00324268"/>
    <w:rsid w:val="00324F9D"/>
    <w:rsid w:val="003259D4"/>
    <w:rsid w:val="00326312"/>
    <w:rsid w:val="003267DC"/>
    <w:rsid w:val="003272E4"/>
    <w:rsid w:val="003303B0"/>
    <w:rsid w:val="00330DA2"/>
    <w:rsid w:val="00330FED"/>
    <w:rsid w:val="00331A20"/>
    <w:rsid w:val="0033232B"/>
    <w:rsid w:val="00341A50"/>
    <w:rsid w:val="003430C3"/>
    <w:rsid w:val="00345335"/>
    <w:rsid w:val="0035172C"/>
    <w:rsid w:val="00352AD6"/>
    <w:rsid w:val="00353FD2"/>
    <w:rsid w:val="00354F9A"/>
    <w:rsid w:val="00356362"/>
    <w:rsid w:val="00356D02"/>
    <w:rsid w:val="003634FB"/>
    <w:rsid w:val="0036728D"/>
    <w:rsid w:val="00370420"/>
    <w:rsid w:val="003718A7"/>
    <w:rsid w:val="003720A0"/>
    <w:rsid w:val="0037357B"/>
    <w:rsid w:val="00375FFF"/>
    <w:rsid w:val="0037684A"/>
    <w:rsid w:val="00376A9F"/>
    <w:rsid w:val="00381BCA"/>
    <w:rsid w:val="00382535"/>
    <w:rsid w:val="00384254"/>
    <w:rsid w:val="003848A1"/>
    <w:rsid w:val="0038567E"/>
    <w:rsid w:val="00386155"/>
    <w:rsid w:val="00387862"/>
    <w:rsid w:val="00387CA4"/>
    <w:rsid w:val="003912E7"/>
    <w:rsid w:val="00396FBA"/>
    <w:rsid w:val="00397A58"/>
    <w:rsid w:val="003A0531"/>
    <w:rsid w:val="003A0C97"/>
    <w:rsid w:val="003A4B7B"/>
    <w:rsid w:val="003B083F"/>
    <w:rsid w:val="003B2394"/>
    <w:rsid w:val="003B3C5E"/>
    <w:rsid w:val="003B55A3"/>
    <w:rsid w:val="003B5ECC"/>
    <w:rsid w:val="003B6BF0"/>
    <w:rsid w:val="003C124D"/>
    <w:rsid w:val="003D0746"/>
    <w:rsid w:val="003D3079"/>
    <w:rsid w:val="003D671C"/>
    <w:rsid w:val="003D6BCF"/>
    <w:rsid w:val="003E1303"/>
    <w:rsid w:val="003E5522"/>
    <w:rsid w:val="003E55FC"/>
    <w:rsid w:val="003F0BBA"/>
    <w:rsid w:val="003F6D51"/>
    <w:rsid w:val="003F7E32"/>
    <w:rsid w:val="00403FC0"/>
    <w:rsid w:val="00405CA4"/>
    <w:rsid w:val="0041182F"/>
    <w:rsid w:val="00413614"/>
    <w:rsid w:val="0041693F"/>
    <w:rsid w:val="00422DC5"/>
    <w:rsid w:val="00426456"/>
    <w:rsid w:val="004372A1"/>
    <w:rsid w:val="00443D3F"/>
    <w:rsid w:val="00443DB4"/>
    <w:rsid w:val="00444C9A"/>
    <w:rsid w:val="0044591C"/>
    <w:rsid w:val="0044711D"/>
    <w:rsid w:val="00451343"/>
    <w:rsid w:val="00462522"/>
    <w:rsid w:val="00464AF9"/>
    <w:rsid w:val="0046712A"/>
    <w:rsid w:val="00467B16"/>
    <w:rsid w:val="004702BA"/>
    <w:rsid w:val="004771AA"/>
    <w:rsid w:val="0047792F"/>
    <w:rsid w:val="00480D19"/>
    <w:rsid w:val="00481147"/>
    <w:rsid w:val="00484E9D"/>
    <w:rsid w:val="004863E4"/>
    <w:rsid w:val="00487517"/>
    <w:rsid w:val="00487668"/>
    <w:rsid w:val="00487852"/>
    <w:rsid w:val="00491604"/>
    <w:rsid w:val="00492F5E"/>
    <w:rsid w:val="004931DA"/>
    <w:rsid w:val="0049514A"/>
    <w:rsid w:val="004961DE"/>
    <w:rsid w:val="004971A6"/>
    <w:rsid w:val="00497874"/>
    <w:rsid w:val="004A0E98"/>
    <w:rsid w:val="004A2A5B"/>
    <w:rsid w:val="004A339F"/>
    <w:rsid w:val="004A3CFB"/>
    <w:rsid w:val="004A4EC7"/>
    <w:rsid w:val="004A5F1D"/>
    <w:rsid w:val="004B1F41"/>
    <w:rsid w:val="004B3008"/>
    <w:rsid w:val="004B58DE"/>
    <w:rsid w:val="004C2A0A"/>
    <w:rsid w:val="004C350D"/>
    <w:rsid w:val="004C4340"/>
    <w:rsid w:val="004D08B3"/>
    <w:rsid w:val="004D34D0"/>
    <w:rsid w:val="004D5BD5"/>
    <w:rsid w:val="004E06F9"/>
    <w:rsid w:val="004E1934"/>
    <w:rsid w:val="004E4984"/>
    <w:rsid w:val="004E6A69"/>
    <w:rsid w:val="004E7CC0"/>
    <w:rsid w:val="004F0268"/>
    <w:rsid w:val="004F26E8"/>
    <w:rsid w:val="004F3B13"/>
    <w:rsid w:val="005010B3"/>
    <w:rsid w:val="00506E87"/>
    <w:rsid w:val="00506F8E"/>
    <w:rsid w:val="005108F4"/>
    <w:rsid w:val="0051252D"/>
    <w:rsid w:val="00516470"/>
    <w:rsid w:val="00516BEE"/>
    <w:rsid w:val="00522395"/>
    <w:rsid w:val="005232F9"/>
    <w:rsid w:val="00526F9A"/>
    <w:rsid w:val="00527978"/>
    <w:rsid w:val="005302B4"/>
    <w:rsid w:val="00530DB3"/>
    <w:rsid w:val="00531E2F"/>
    <w:rsid w:val="00532FBB"/>
    <w:rsid w:val="005340DC"/>
    <w:rsid w:val="00534732"/>
    <w:rsid w:val="005366BB"/>
    <w:rsid w:val="005419C9"/>
    <w:rsid w:val="00542BCB"/>
    <w:rsid w:val="00543FC3"/>
    <w:rsid w:val="0054615D"/>
    <w:rsid w:val="00547251"/>
    <w:rsid w:val="005608FF"/>
    <w:rsid w:val="005647F7"/>
    <w:rsid w:val="00566617"/>
    <w:rsid w:val="005671E1"/>
    <w:rsid w:val="00576B94"/>
    <w:rsid w:val="00576BDC"/>
    <w:rsid w:val="00581E63"/>
    <w:rsid w:val="005849F2"/>
    <w:rsid w:val="00590EF4"/>
    <w:rsid w:val="00592E1B"/>
    <w:rsid w:val="005933CB"/>
    <w:rsid w:val="005A00E3"/>
    <w:rsid w:val="005A30E3"/>
    <w:rsid w:val="005B1EE5"/>
    <w:rsid w:val="005B275D"/>
    <w:rsid w:val="005B650C"/>
    <w:rsid w:val="005C3724"/>
    <w:rsid w:val="005C3FCF"/>
    <w:rsid w:val="005C4C3B"/>
    <w:rsid w:val="005C7BDF"/>
    <w:rsid w:val="005D0643"/>
    <w:rsid w:val="005D0D20"/>
    <w:rsid w:val="005D277D"/>
    <w:rsid w:val="005D2D27"/>
    <w:rsid w:val="005D4BC0"/>
    <w:rsid w:val="005D78B4"/>
    <w:rsid w:val="005E034F"/>
    <w:rsid w:val="005E07CE"/>
    <w:rsid w:val="005E1498"/>
    <w:rsid w:val="005E43B5"/>
    <w:rsid w:val="005F0749"/>
    <w:rsid w:val="005F7AE8"/>
    <w:rsid w:val="0060513C"/>
    <w:rsid w:val="00605CB2"/>
    <w:rsid w:val="006127A0"/>
    <w:rsid w:val="006134E4"/>
    <w:rsid w:val="00613DEE"/>
    <w:rsid w:val="00622889"/>
    <w:rsid w:val="006236D5"/>
    <w:rsid w:val="0062617C"/>
    <w:rsid w:val="0063231D"/>
    <w:rsid w:val="006358E4"/>
    <w:rsid w:val="006401E9"/>
    <w:rsid w:val="006404FD"/>
    <w:rsid w:val="00641704"/>
    <w:rsid w:val="00641C59"/>
    <w:rsid w:val="006420DF"/>
    <w:rsid w:val="006432B3"/>
    <w:rsid w:val="006441B3"/>
    <w:rsid w:val="006444D9"/>
    <w:rsid w:val="00651DC4"/>
    <w:rsid w:val="006533BE"/>
    <w:rsid w:val="00657B36"/>
    <w:rsid w:val="00660104"/>
    <w:rsid w:val="0066459D"/>
    <w:rsid w:val="00665634"/>
    <w:rsid w:val="00666670"/>
    <w:rsid w:val="0067462F"/>
    <w:rsid w:val="006864C6"/>
    <w:rsid w:val="0068767E"/>
    <w:rsid w:val="00687886"/>
    <w:rsid w:val="0069590F"/>
    <w:rsid w:val="006A07DE"/>
    <w:rsid w:val="006A4A7B"/>
    <w:rsid w:val="006A57D6"/>
    <w:rsid w:val="006B1C14"/>
    <w:rsid w:val="006B2651"/>
    <w:rsid w:val="006B593A"/>
    <w:rsid w:val="006B6272"/>
    <w:rsid w:val="006B6AA6"/>
    <w:rsid w:val="006C06D7"/>
    <w:rsid w:val="006C20DB"/>
    <w:rsid w:val="006C4401"/>
    <w:rsid w:val="006C6C1E"/>
    <w:rsid w:val="006D29E4"/>
    <w:rsid w:val="006D5A96"/>
    <w:rsid w:val="006D6460"/>
    <w:rsid w:val="006D75D8"/>
    <w:rsid w:val="006D7798"/>
    <w:rsid w:val="006E21FC"/>
    <w:rsid w:val="006E2E36"/>
    <w:rsid w:val="006E5367"/>
    <w:rsid w:val="006F4F78"/>
    <w:rsid w:val="006F7A8C"/>
    <w:rsid w:val="0070189B"/>
    <w:rsid w:val="00703853"/>
    <w:rsid w:val="0070597A"/>
    <w:rsid w:val="00706641"/>
    <w:rsid w:val="00707321"/>
    <w:rsid w:val="007105E3"/>
    <w:rsid w:val="0071550A"/>
    <w:rsid w:val="007165A6"/>
    <w:rsid w:val="0072580A"/>
    <w:rsid w:val="00725BC6"/>
    <w:rsid w:val="00730BC7"/>
    <w:rsid w:val="00735E5D"/>
    <w:rsid w:val="0073685F"/>
    <w:rsid w:val="00736D88"/>
    <w:rsid w:val="00741261"/>
    <w:rsid w:val="00742B36"/>
    <w:rsid w:val="00743352"/>
    <w:rsid w:val="00744901"/>
    <w:rsid w:val="007449ED"/>
    <w:rsid w:val="00747819"/>
    <w:rsid w:val="007607D5"/>
    <w:rsid w:val="00761D86"/>
    <w:rsid w:val="00763DC1"/>
    <w:rsid w:val="0076449C"/>
    <w:rsid w:val="007647EC"/>
    <w:rsid w:val="007659C0"/>
    <w:rsid w:val="0077071C"/>
    <w:rsid w:val="00773653"/>
    <w:rsid w:val="007855BA"/>
    <w:rsid w:val="007879E3"/>
    <w:rsid w:val="00787DDD"/>
    <w:rsid w:val="00790F53"/>
    <w:rsid w:val="00791974"/>
    <w:rsid w:val="00791C58"/>
    <w:rsid w:val="00794D70"/>
    <w:rsid w:val="00796C14"/>
    <w:rsid w:val="007A0057"/>
    <w:rsid w:val="007A1C86"/>
    <w:rsid w:val="007A243B"/>
    <w:rsid w:val="007A2FF9"/>
    <w:rsid w:val="007A31DB"/>
    <w:rsid w:val="007A44E4"/>
    <w:rsid w:val="007B0EDF"/>
    <w:rsid w:val="007B3269"/>
    <w:rsid w:val="007B74B1"/>
    <w:rsid w:val="007C0304"/>
    <w:rsid w:val="007C23E9"/>
    <w:rsid w:val="007C327A"/>
    <w:rsid w:val="007C7C9F"/>
    <w:rsid w:val="007D060C"/>
    <w:rsid w:val="007D0A51"/>
    <w:rsid w:val="007D1649"/>
    <w:rsid w:val="007D5D67"/>
    <w:rsid w:val="007E01A6"/>
    <w:rsid w:val="007E032C"/>
    <w:rsid w:val="007E3AA6"/>
    <w:rsid w:val="007E4E5C"/>
    <w:rsid w:val="007F23D1"/>
    <w:rsid w:val="00800144"/>
    <w:rsid w:val="008005D6"/>
    <w:rsid w:val="00802BFE"/>
    <w:rsid w:val="0080301A"/>
    <w:rsid w:val="008045CF"/>
    <w:rsid w:val="00811595"/>
    <w:rsid w:val="00814969"/>
    <w:rsid w:val="00815CA5"/>
    <w:rsid w:val="00815CB8"/>
    <w:rsid w:val="00816118"/>
    <w:rsid w:val="008261B9"/>
    <w:rsid w:val="008313BE"/>
    <w:rsid w:val="00832BC8"/>
    <w:rsid w:val="00832DA0"/>
    <w:rsid w:val="008374B3"/>
    <w:rsid w:val="008468A6"/>
    <w:rsid w:val="00850D0B"/>
    <w:rsid w:val="0085379B"/>
    <w:rsid w:val="008539B0"/>
    <w:rsid w:val="00854F7C"/>
    <w:rsid w:val="00857D1B"/>
    <w:rsid w:val="008632D7"/>
    <w:rsid w:val="00863CE2"/>
    <w:rsid w:val="00864793"/>
    <w:rsid w:val="008649F2"/>
    <w:rsid w:val="00865288"/>
    <w:rsid w:val="00867573"/>
    <w:rsid w:val="00871CFB"/>
    <w:rsid w:val="008720B5"/>
    <w:rsid w:val="008729B5"/>
    <w:rsid w:val="0088196E"/>
    <w:rsid w:val="00886134"/>
    <w:rsid w:val="0088770D"/>
    <w:rsid w:val="00887AEE"/>
    <w:rsid w:val="00891F36"/>
    <w:rsid w:val="008928DE"/>
    <w:rsid w:val="00892FB8"/>
    <w:rsid w:val="00897C03"/>
    <w:rsid w:val="008A1592"/>
    <w:rsid w:val="008A400E"/>
    <w:rsid w:val="008A4FA4"/>
    <w:rsid w:val="008A6A3A"/>
    <w:rsid w:val="008A73CD"/>
    <w:rsid w:val="008B209C"/>
    <w:rsid w:val="008B23EE"/>
    <w:rsid w:val="008B3F5F"/>
    <w:rsid w:val="008C0CDF"/>
    <w:rsid w:val="008C0E00"/>
    <w:rsid w:val="008C0E36"/>
    <w:rsid w:val="008C27FB"/>
    <w:rsid w:val="008D04EF"/>
    <w:rsid w:val="008D1C59"/>
    <w:rsid w:val="008D747B"/>
    <w:rsid w:val="008D7508"/>
    <w:rsid w:val="008E1409"/>
    <w:rsid w:val="008E1C0A"/>
    <w:rsid w:val="008F0C41"/>
    <w:rsid w:val="008F1547"/>
    <w:rsid w:val="008F7374"/>
    <w:rsid w:val="00903BDF"/>
    <w:rsid w:val="00910E42"/>
    <w:rsid w:val="00911D39"/>
    <w:rsid w:val="009122BE"/>
    <w:rsid w:val="00912676"/>
    <w:rsid w:val="00913199"/>
    <w:rsid w:val="00913ECB"/>
    <w:rsid w:val="0092346D"/>
    <w:rsid w:val="00923764"/>
    <w:rsid w:val="009237DC"/>
    <w:rsid w:val="00930FCB"/>
    <w:rsid w:val="00931130"/>
    <w:rsid w:val="00931341"/>
    <w:rsid w:val="0093302E"/>
    <w:rsid w:val="00934C27"/>
    <w:rsid w:val="00935DF4"/>
    <w:rsid w:val="00936842"/>
    <w:rsid w:val="00941D79"/>
    <w:rsid w:val="009434FB"/>
    <w:rsid w:val="00945738"/>
    <w:rsid w:val="009513B4"/>
    <w:rsid w:val="0095426F"/>
    <w:rsid w:val="00955402"/>
    <w:rsid w:val="009575D2"/>
    <w:rsid w:val="00957626"/>
    <w:rsid w:val="0096320C"/>
    <w:rsid w:val="00966107"/>
    <w:rsid w:val="009664F5"/>
    <w:rsid w:val="00970E6C"/>
    <w:rsid w:val="009719AC"/>
    <w:rsid w:val="0097218D"/>
    <w:rsid w:val="009746AE"/>
    <w:rsid w:val="00974926"/>
    <w:rsid w:val="00974CDB"/>
    <w:rsid w:val="00980B3B"/>
    <w:rsid w:val="00981269"/>
    <w:rsid w:val="0098473C"/>
    <w:rsid w:val="00990BED"/>
    <w:rsid w:val="00990C7D"/>
    <w:rsid w:val="00992D98"/>
    <w:rsid w:val="00994F78"/>
    <w:rsid w:val="009A2F01"/>
    <w:rsid w:val="009A4A2A"/>
    <w:rsid w:val="009A4BCF"/>
    <w:rsid w:val="009A74B0"/>
    <w:rsid w:val="009A76AA"/>
    <w:rsid w:val="009B005B"/>
    <w:rsid w:val="009B02D5"/>
    <w:rsid w:val="009B2EF3"/>
    <w:rsid w:val="009B35B5"/>
    <w:rsid w:val="009B5F4F"/>
    <w:rsid w:val="009C0D7C"/>
    <w:rsid w:val="009C3692"/>
    <w:rsid w:val="009C6211"/>
    <w:rsid w:val="009C79C6"/>
    <w:rsid w:val="009D0DC9"/>
    <w:rsid w:val="009D4100"/>
    <w:rsid w:val="009D457B"/>
    <w:rsid w:val="009D5C8A"/>
    <w:rsid w:val="009D7E19"/>
    <w:rsid w:val="009D7F53"/>
    <w:rsid w:val="009E206E"/>
    <w:rsid w:val="009F290A"/>
    <w:rsid w:val="009F29A5"/>
    <w:rsid w:val="009F5E7B"/>
    <w:rsid w:val="00A00445"/>
    <w:rsid w:val="00A011D9"/>
    <w:rsid w:val="00A0236E"/>
    <w:rsid w:val="00A03996"/>
    <w:rsid w:val="00A04546"/>
    <w:rsid w:val="00A0566D"/>
    <w:rsid w:val="00A07814"/>
    <w:rsid w:val="00A10CCF"/>
    <w:rsid w:val="00A10E8C"/>
    <w:rsid w:val="00A14DB1"/>
    <w:rsid w:val="00A15C62"/>
    <w:rsid w:val="00A21294"/>
    <w:rsid w:val="00A226E3"/>
    <w:rsid w:val="00A22B5D"/>
    <w:rsid w:val="00A24814"/>
    <w:rsid w:val="00A248F8"/>
    <w:rsid w:val="00A2636E"/>
    <w:rsid w:val="00A26735"/>
    <w:rsid w:val="00A31308"/>
    <w:rsid w:val="00A32A49"/>
    <w:rsid w:val="00A37268"/>
    <w:rsid w:val="00A40D5C"/>
    <w:rsid w:val="00A456F0"/>
    <w:rsid w:val="00A53DC4"/>
    <w:rsid w:val="00A55E28"/>
    <w:rsid w:val="00A64568"/>
    <w:rsid w:val="00A6684F"/>
    <w:rsid w:val="00A71B62"/>
    <w:rsid w:val="00A74C3E"/>
    <w:rsid w:val="00A75098"/>
    <w:rsid w:val="00A764C9"/>
    <w:rsid w:val="00A76FAD"/>
    <w:rsid w:val="00A77B65"/>
    <w:rsid w:val="00A80114"/>
    <w:rsid w:val="00A854E8"/>
    <w:rsid w:val="00A8604D"/>
    <w:rsid w:val="00A87AA9"/>
    <w:rsid w:val="00A9133F"/>
    <w:rsid w:val="00A915FC"/>
    <w:rsid w:val="00A938E9"/>
    <w:rsid w:val="00A95502"/>
    <w:rsid w:val="00AA0C37"/>
    <w:rsid w:val="00AA2B96"/>
    <w:rsid w:val="00AA2EE9"/>
    <w:rsid w:val="00AA6372"/>
    <w:rsid w:val="00AA70F3"/>
    <w:rsid w:val="00AA7176"/>
    <w:rsid w:val="00AB375F"/>
    <w:rsid w:val="00AB492B"/>
    <w:rsid w:val="00AB6830"/>
    <w:rsid w:val="00AB6C5E"/>
    <w:rsid w:val="00AB7D69"/>
    <w:rsid w:val="00AC135F"/>
    <w:rsid w:val="00AC4A32"/>
    <w:rsid w:val="00AC6695"/>
    <w:rsid w:val="00AD2B4D"/>
    <w:rsid w:val="00AD7F11"/>
    <w:rsid w:val="00AE11B0"/>
    <w:rsid w:val="00AE21C3"/>
    <w:rsid w:val="00AE4220"/>
    <w:rsid w:val="00AF1CCA"/>
    <w:rsid w:val="00AF32B6"/>
    <w:rsid w:val="00AF3E17"/>
    <w:rsid w:val="00AF5E83"/>
    <w:rsid w:val="00AF71C9"/>
    <w:rsid w:val="00B01883"/>
    <w:rsid w:val="00B019F6"/>
    <w:rsid w:val="00B065C7"/>
    <w:rsid w:val="00B1303E"/>
    <w:rsid w:val="00B138C3"/>
    <w:rsid w:val="00B13DF6"/>
    <w:rsid w:val="00B175F7"/>
    <w:rsid w:val="00B20EE0"/>
    <w:rsid w:val="00B24428"/>
    <w:rsid w:val="00B25962"/>
    <w:rsid w:val="00B25BD8"/>
    <w:rsid w:val="00B26C11"/>
    <w:rsid w:val="00B273F7"/>
    <w:rsid w:val="00B27A86"/>
    <w:rsid w:val="00B30A52"/>
    <w:rsid w:val="00B3129C"/>
    <w:rsid w:val="00B36083"/>
    <w:rsid w:val="00B36645"/>
    <w:rsid w:val="00B402C7"/>
    <w:rsid w:val="00B416E9"/>
    <w:rsid w:val="00B42041"/>
    <w:rsid w:val="00B45608"/>
    <w:rsid w:val="00B4681A"/>
    <w:rsid w:val="00B52C0A"/>
    <w:rsid w:val="00B53D34"/>
    <w:rsid w:val="00B614DB"/>
    <w:rsid w:val="00B6213F"/>
    <w:rsid w:val="00B62D87"/>
    <w:rsid w:val="00B67311"/>
    <w:rsid w:val="00B70188"/>
    <w:rsid w:val="00B80C82"/>
    <w:rsid w:val="00B80EA4"/>
    <w:rsid w:val="00B819CC"/>
    <w:rsid w:val="00B820AF"/>
    <w:rsid w:val="00B842B1"/>
    <w:rsid w:val="00B85D59"/>
    <w:rsid w:val="00B9152A"/>
    <w:rsid w:val="00B916DA"/>
    <w:rsid w:val="00B9701A"/>
    <w:rsid w:val="00BA0CCE"/>
    <w:rsid w:val="00BA1507"/>
    <w:rsid w:val="00BA4EDB"/>
    <w:rsid w:val="00BA5FEC"/>
    <w:rsid w:val="00BB3CF7"/>
    <w:rsid w:val="00BB492A"/>
    <w:rsid w:val="00BB6062"/>
    <w:rsid w:val="00BB7B13"/>
    <w:rsid w:val="00BC056B"/>
    <w:rsid w:val="00BC47A2"/>
    <w:rsid w:val="00BD02CB"/>
    <w:rsid w:val="00BD54CF"/>
    <w:rsid w:val="00BE0A36"/>
    <w:rsid w:val="00BE12E6"/>
    <w:rsid w:val="00BE6CE3"/>
    <w:rsid w:val="00BE7640"/>
    <w:rsid w:val="00BF1305"/>
    <w:rsid w:val="00BF3107"/>
    <w:rsid w:val="00BF5300"/>
    <w:rsid w:val="00BF6C98"/>
    <w:rsid w:val="00C07CE1"/>
    <w:rsid w:val="00C1387F"/>
    <w:rsid w:val="00C14D59"/>
    <w:rsid w:val="00C153CC"/>
    <w:rsid w:val="00C15EEC"/>
    <w:rsid w:val="00C16940"/>
    <w:rsid w:val="00C21797"/>
    <w:rsid w:val="00C2503C"/>
    <w:rsid w:val="00C3075D"/>
    <w:rsid w:val="00C31AFD"/>
    <w:rsid w:val="00C32527"/>
    <w:rsid w:val="00C33204"/>
    <w:rsid w:val="00C34B9E"/>
    <w:rsid w:val="00C4199C"/>
    <w:rsid w:val="00C41BB3"/>
    <w:rsid w:val="00C475A0"/>
    <w:rsid w:val="00C51E69"/>
    <w:rsid w:val="00C527CB"/>
    <w:rsid w:val="00C609BE"/>
    <w:rsid w:val="00C6141B"/>
    <w:rsid w:val="00C62F0F"/>
    <w:rsid w:val="00C636C0"/>
    <w:rsid w:val="00C638D2"/>
    <w:rsid w:val="00C64730"/>
    <w:rsid w:val="00C64FB7"/>
    <w:rsid w:val="00C67A43"/>
    <w:rsid w:val="00C71343"/>
    <w:rsid w:val="00C720D5"/>
    <w:rsid w:val="00C72B70"/>
    <w:rsid w:val="00C74E17"/>
    <w:rsid w:val="00C74E97"/>
    <w:rsid w:val="00C75669"/>
    <w:rsid w:val="00C77288"/>
    <w:rsid w:val="00C80740"/>
    <w:rsid w:val="00C8190D"/>
    <w:rsid w:val="00C86F66"/>
    <w:rsid w:val="00C911A7"/>
    <w:rsid w:val="00C91749"/>
    <w:rsid w:val="00C9241E"/>
    <w:rsid w:val="00C92787"/>
    <w:rsid w:val="00C92B62"/>
    <w:rsid w:val="00C960E9"/>
    <w:rsid w:val="00CA0A01"/>
    <w:rsid w:val="00CB0A69"/>
    <w:rsid w:val="00CB4BA9"/>
    <w:rsid w:val="00CB58EA"/>
    <w:rsid w:val="00CB5CA2"/>
    <w:rsid w:val="00CB7F6B"/>
    <w:rsid w:val="00CC0E96"/>
    <w:rsid w:val="00CC27B0"/>
    <w:rsid w:val="00CC3052"/>
    <w:rsid w:val="00CC7B94"/>
    <w:rsid w:val="00CD02AD"/>
    <w:rsid w:val="00CD03F4"/>
    <w:rsid w:val="00CD1529"/>
    <w:rsid w:val="00CD72AB"/>
    <w:rsid w:val="00CD73F8"/>
    <w:rsid w:val="00CE354D"/>
    <w:rsid w:val="00CE3B75"/>
    <w:rsid w:val="00CE3D9B"/>
    <w:rsid w:val="00CE3F98"/>
    <w:rsid w:val="00CE6F97"/>
    <w:rsid w:val="00CE7454"/>
    <w:rsid w:val="00CF3130"/>
    <w:rsid w:val="00CF4697"/>
    <w:rsid w:val="00CF4E7D"/>
    <w:rsid w:val="00CF54C0"/>
    <w:rsid w:val="00D01BB6"/>
    <w:rsid w:val="00D02D90"/>
    <w:rsid w:val="00D13706"/>
    <w:rsid w:val="00D15704"/>
    <w:rsid w:val="00D224FB"/>
    <w:rsid w:val="00D239E2"/>
    <w:rsid w:val="00D24E30"/>
    <w:rsid w:val="00D262C2"/>
    <w:rsid w:val="00D342F3"/>
    <w:rsid w:val="00D37697"/>
    <w:rsid w:val="00D42359"/>
    <w:rsid w:val="00D43197"/>
    <w:rsid w:val="00D51066"/>
    <w:rsid w:val="00D52C34"/>
    <w:rsid w:val="00D52CD1"/>
    <w:rsid w:val="00D550EF"/>
    <w:rsid w:val="00D562D0"/>
    <w:rsid w:val="00D644AE"/>
    <w:rsid w:val="00D65423"/>
    <w:rsid w:val="00D66BA2"/>
    <w:rsid w:val="00D67A92"/>
    <w:rsid w:val="00D7076C"/>
    <w:rsid w:val="00D70DA1"/>
    <w:rsid w:val="00D7300B"/>
    <w:rsid w:val="00D7426B"/>
    <w:rsid w:val="00D80FD2"/>
    <w:rsid w:val="00D82809"/>
    <w:rsid w:val="00D82C50"/>
    <w:rsid w:val="00D8401A"/>
    <w:rsid w:val="00D84D89"/>
    <w:rsid w:val="00D908E9"/>
    <w:rsid w:val="00D91BD8"/>
    <w:rsid w:val="00D94719"/>
    <w:rsid w:val="00DA2DE0"/>
    <w:rsid w:val="00DA6CDF"/>
    <w:rsid w:val="00DB0018"/>
    <w:rsid w:val="00DB05D8"/>
    <w:rsid w:val="00DB4BFB"/>
    <w:rsid w:val="00DC01B6"/>
    <w:rsid w:val="00DC05D5"/>
    <w:rsid w:val="00DC698B"/>
    <w:rsid w:val="00DC762F"/>
    <w:rsid w:val="00DC7755"/>
    <w:rsid w:val="00DD72EE"/>
    <w:rsid w:val="00DD756F"/>
    <w:rsid w:val="00DE18DA"/>
    <w:rsid w:val="00DE4F71"/>
    <w:rsid w:val="00DE6DA8"/>
    <w:rsid w:val="00DF1BB4"/>
    <w:rsid w:val="00DF4473"/>
    <w:rsid w:val="00DF75B2"/>
    <w:rsid w:val="00DF7C9F"/>
    <w:rsid w:val="00E0141F"/>
    <w:rsid w:val="00E05319"/>
    <w:rsid w:val="00E05F4F"/>
    <w:rsid w:val="00E1048F"/>
    <w:rsid w:val="00E13B25"/>
    <w:rsid w:val="00E16359"/>
    <w:rsid w:val="00E16584"/>
    <w:rsid w:val="00E175FD"/>
    <w:rsid w:val="00E208D0"/>
    <w:rsid w:val="00E20C09"/>
    <w:rsid w:val="00E21BC4"/>
    <w:rsid w:val="00E230B6"/>
    <w:rsid w:val="00E235AF"/>
    <w:rsid w:val="00E23D45"/>
    <w:rsid w:val="00E2413B"/>
    <w:rsid w:val="00E27074"/>
    <w:rsid w:val="00E31F4A"/>
    <w:rsid w:val="00E339E9"/>
    <w:rsid w:val="00E34734"/>
    <w:rsid w:val="00E34DE4"/>
    <w:rsid w:val="00E40ECB"/>
    <w:rsid w:val="00E4142E"/>
    <w:rsid w:val="00E42113"/>
    <w:rsid w:val="00E43EB8"/>
    <w:rsid w:val="00E52846"/>
    <w:rsid w:val="00E5411B"/>
    <w:rsid w:val="00E5452A"/>
    <w:rsid w:val="00E561C9"/>
    <w:rsid w:val="00E561DF"/>
    <w:rsid w:val="00E61398"/>
    <w:rsid w:val="00E64BDA"/>
    <w:rsid w:val="00E674CC"/>
    <w:rsid w:val="00E71573"/>
    <w:rsid w:val="00E7199D"/>
    <w:rsid w:val="00E71CE8"/>
    <w:rsid w:val="00E73334"/>
    <w:rsid w:val="00E77809"/>
    <w:rsid w:val="00E828C9"/>
    <w:rsid w:val="00E873AB"/>
    <w:rsid w:val="00E90035"/>
    <w:rsid w:val="00E93B80"/>
    <w:rsid w:val="00E95B2E"/>
    <w:rsid w:val="00E97E5E"/>
    <w:rsid w:val="00EA05FC"/>
    <w:rsid w:val="00EA775F"/>
    <w:rsid w:val="00EA7F31"/>
    <w:rsid w:val="00EB2546"/>
    <w:rsid w:val="00EB2969"/>
    <w:rsid w:val="00EB4975"/>
    <w:rsid w:val="00EB5075"/>
    <w:rsid w:val="00EB6B9F"/>
    <w:rsid w:val="00EB79F7"/>
    <w:rsid w:val="00EB7AA1"/>
    <w:rsid w:val="00EB7C28"/>
    <w:rsid w:val="00EC0E47"/>
    <w:rsid w:val="00EC21F2"/>
    <w:rsid w:val="00EC2AAE"/>
    <w:rsid w:val="00EC5A64"/>
    <w:rsid w:val="00ED305B"/>
    <w:rsid w:val="00ED497E"/>
    <w:rsid w:val="00ED4F8B"/>
    <w:rsid w:val="00ED6D2C"/>
    <w:rsid w:val="00EE1D39"/>
    <w:rsid w:val="00EE2893"/>
    <w:rsid w:val="00EE4752"/>
    <w:rsid w:val="00EE5DF5"/>
    <w:rsid w:val="00EE7BF4"/>
    <w:rsid w:val="00EF01F0"/>
    <w:rsid w:val="00EF0BB6"/>
    <w:rsid w:val="00EF3CA2"/>
    <w:rsid w:val="00EF5808"/>
    <w:rsid w:val="00F01F4D"/>
    <w:rsid w:val="00F037A6"/>
    <w:rsid w:val="00F05762"/>
    <w:rsid w:val="00F13DF0"/>
    <w:rsid w:val="00F15955"/>
    <w:rsid w:val="00F17E24"/>
    <w:rsid w:val="00F2291C"/>
    <w:rsid w:val="00F22A8C"/>
    <w:rsid w:val="00F2579B"/>
    <w:rsid w:val="00F33241"/>
    <w:rsid w:val="00F33B5F"/>
    <w:rsid w:val="00F3480A"/>
    <w:rsid w:val="00F35C6F"/>
    <w:rsid w:val="00F36144"/>
    <w:rsid w:val="00F36C16"/>
    <w:rsid w:val="00F40272"/>
    <w:rsid w:val="00F42A70"/>
    <w:rsid w:val="00F434F2"/>
    <w:rsid w:val="00F4440A"/>
    <w:rsid w:val="00F50A01"/>
    <w:rsid w:val="00F52378"/>
    <w:rsid w:val="00F56A88"/>
    <w:rsid w:val="00F62956"/>
    <w:rsid w:val="00F648D9"/>
    <w:rsid w:val="00F65383"/>
    <w:rsid w:val="00F766C6"/>
    <w:rsid w:val="00F8133E"/>
    <w:rsid w:val="00F81971"/>
    <w:rsid w:val="00F81EE6"/>
    <w:rsid w:val="00F83F11"/>
    <w:rsid w:val="00F8754A"/>
    <w:rsid w:val="00F90F9C"/>
    <w:rsid w:val="00F91A63"/>
    <w:rsid w:val="00F94288"/>
    <w:rsid w:val="00F9511B"/>
    <w:rsid w:val="00F953E7"/>
    <w:rsid w:val="00F95F91"/>
    <w:rsid w:val="00FA0889"/>
    <w:rsid w:val="00FA1811"/>
    <w:rsid w:val="00FA2F4C"/>
    <w:rsid w:val="00FA6F47"/>
    <w:rsid w:val="00FA7BDC"/>
    <w:rsid w:val="00FB1978"/>
    <w:rsid w:val="00FB1AEB"/>
    <w:rsid w:val="00FB5F6B"/>
    <w:rsid w:val="00FB7D69"/>
    <w:rsid w:val="00FD4B95"/>
    <w:rsid w:val="00FE1169"/>
    <w:rsid w:val="00FF42BC"/>
    <w:rsid w:val="00FF4803"/>
    <w:rsid w:val="00FF728F"/>
    <w:rsid w:val="00FF7959"/>
    <w:rsid w:val="01011B4E"/>
    <w:rsid w:val="01093CF1"/>
    <w:rsid w:val="010A378F"/>
    <w:rsid w:val="01121529"/>
    <w:rsid w:val="011C5190"/>
    <w:rsid w:val="011E3FC8"/>
    <w:rsid w:val="011F3EF9"/>
    <w:rsid w:val="01206141"/>
    <w:rsid w:val="012454BA"/>
    <w:rsid w:val="012D7A2F"/>
    <w:rsid w:val="013E04A1"/>
    <w:rsid w:val="014800C1"/>
    <w:rsid w:val="014B463D"/>
    <w:rsid w:val="014F6F8A"/>
    <w:rsid w:val="015112B4"/>
    <w:rsid w:val="016607FC"/>
    <w:rsid w:val="017C0581"/>
    <w:rsid w:val="019224C0"/>
    <w:rsid w:val="01991ED1"/>
    <w:rsid w:val="01A3262C"/>
    <w:rsid w:val="01A62B69"/>
    <w:rsid w:val="01A95337"/>
    <w:rsid w:val="01B20A9D"/>
    <w:rsid w:val="01B5562E"/>
    <w:rsid w:val="01B829BE"/>
    <w:rsid w:val="01C01220"/>
    <w:rsid w:val="01C92CA6"/>
    <w:rsid w:val="01C97741"/>
    <w:rsid w:val="01CC13DE"/>
    <w:rsid w:val="01D11F8A"/>
    <w:rsid w:val="01EB2EBD"/>
    <w:rsid w:val="01F05BDB"/>
    <w:rsid w:val="02032550"/>
    <w:rsid w:val="02275827"/>
    <w:rsid w:val="024678FB"/>
    <w:rsid w:val="02522E08"/>
    <w:rsid w:val="02596775"/>
    <w:rsid w:val="0260605C"/>
    <w:rsid w:val="026A6A11"/>
    <w:rsid w:val="027D02C1"/>
    <w:rsid w:val="02800148"/>
    <w:rsid w:val="028815CC"/>
    <w:rsid w:val="02901505"/>
    <w:rsid w:val="02941550"/>
    <w:rsid w:val="02995443"/>
    <w:rsid w:val="029D4945"/>
    <w:rsid w:val="02A62A45"/>
    <w:rsid w:val="02C8407B"/>
    <w:rsid w:val="02C87BCB"/>
    <w:rsid w:val="02DE30ED"/>
    <w:rsid w:val="02E9447D"/>
    <w:rsid w:val="02FF16AE"/>
    <w:rsid w:val="030238D0"/>
    <w:rsid w:val="0315715B"/>
    <w:rsid w:val="031B0463"/>
    <w:rsid w:val="031D627C"/>
    <w:rsid w:val="03362B58"/>
    <w:rsid w:val="03375DEC"/>
    <w:rsid w:val="03404E74"/>
    <w:rsid w:val="0350580D"/>
    <w:rsid w:val="03516A20"/>
    <w:rsid w:val="03794557"/>
    <w:rsid w:val="037E4400"/>
    <w:rsid w:val="038F3BFF"/>
    <w:rsid w:val="039D459E"/>
    <w:rsid w:val="03A106BF"/>
    <w:rsid w:val="03BB7B85"/>
    <w:rsid w:val="03C8738D"/>
    <w:rsid w:val="03C93A70"/>
    <w:rsid w:val="03ED5E05"/>
    <w:rsid w:val="03F17A80"/>
    <w:rsid w:val="040427C6"/>
    <w:rsid w:val="04076E68"/>
    <w:rsid w:val="040D5D6A"/>
    <w:rsid w:val="043258D2"/>
    <w:rsid w:val="04390F12"/>
    <w:rsid w:val="046172BA"/>
    <w:rsid w:val="0470279D"/>
    <w:rsid w:val="048068A4"/>
    <w:rsid w:val="04BA1D79"/>
    <w:rsid w:val="04CB7EC3"/>
    <w:rsid w:val="04E12A14"/>
    <w:rsid w:val="04F023E9"/>
    <w:rsid w:val="05064CC3"/>
    <w:rsid w:val="05095ACD"/>
    <w:rsid w:val="050C27B4"/>
    <w:rsid w:val="050E5D5E"/>
    <w:rsid w:val="05331B82"/>
    <w:rsid w:val="053428EF"/>
    <w:rsid w:val="053E0A4F"/>
    <w:rsid w:val="05504F48"/>
    <w:rsid w:val="05541A1F"/>
    <w:rsid w:val="055464A0"/>
    <w:rsid w:val="055478C5"/>
    <w:rsid w:val="055A17D2"/>
    <w:rsid w:val="05662855"/>
    <w:rsid w:val="05712B95"/>
    <w:rsid w:val="0577747E"/>
    <w:rsid w:val="05AD53B4"/>
    <w:rsid w:val="05B42D5E"/>
    <w:rsid w:val="05B65721"/>
    <w:rsid w:val="05C15B08"/>
    <w:rsid w:val="05DC6175"/>
    <w:rsid w:val="05E24FCF"/>
    <w:rsid w:val="05E6529A"/>
    <w:rsid w:val="05EE2216"/>
    <w:rsid w:val="05F63B43"/>
    <w:rsid w:val="05F825F5"/>
    <w:rsid w:val="05F92C4D"/>
    <w:rsid w:val="05F92DC7"/>
    <w:rsid w:val="06051ABD"/>
    <w:rsid w:val="061608AF"/>
    <w:rsid w:val="06423E51"/>
    <w:rsid w:val="064D3BB0"/>
    <w:rsid w:val="06534808"/>
    <w:rsid w:val="06674758"/>
    <w:rsid w:val="06683889"/>
    <w:rsid w:val="066B212E"/>
    <w:rsid w:val="06913EBF"/>
    <w:rsid w:val="06915C41"/>
    <w:rsid w:val="069A67F0"/>
    <w:rsid w:val="06A3600F"/>
    <w:rsid w:val="06BC3965"/>
    <w:rsid w:val="06BD475A"/>
    <w:rsid w:val="06C02C6A"/>
    <w:rsid w:val="06C07812"/>
    <w:rsid w:val="06E34248"/>
    <w:rsid w:val="06F04DCE"/>
    <w:rsid w:val="06F12299"/>
    <w:rsid w:val="06FB0867"/>
    <w:rsid w:val="070464CB"/>
    <w:rsid w:val="071E666E"/>
    <w:rsid w:val="07294E05"/>
    <w:rsid w:val="072D2233"/>
    <w:rsid w:val="07301735"/>
    <w:rsid w:val="07344519"/>
    <w:rsid w:val="0744660C"/>
    <w:rsid w:val="074F4DAC"/>
    <w:rsid w:val="07500AC3"/>
    <w:rsid w:val="07532269"/>
    <w:rsid w:val="075D1CBE"/>
    <w:rsid w:val="076A7EC7"/>
    <w:rsid w:val="078B0FA7"/>
    <w:rsid w:val="0794558D"/>
    <w:rsid w:val="07952830"/>
    <w:rsid w:val="079D737B"/>
    <w:rsid w:val="07B02146"/>
    <w:rsid w:val="07B23E5A"/>
    <w:rsid w:val="07BC3E1C"/>
    <w:rsid w:val="07CF6AA0"/>
    <w:rsid w:val="07D43E46"/>
    <w:rsid w:val="07E657EA"/>
    <w:rsid w:val="07E73F15"/>
    <w:rsid w:val="07EC5979"/>
    <w:rsid w:val="07F55441"/>
    <w:rsid w:val="07F71E44"/>
    <w:rsid w:val="08024A7C"/>
    <w:rsid w:val="08056311"/>
    <w:rsid w:val="08097B82"/>
    <w:rsid w:val="081754A8"/>
    <w:rsid w:val="081E6FFA"/>
    <w:rsid w:val="08222048"/>
    <w:rsid w:val="08294D9A"/>
    <w:rsid w:val="082979CB"/>
    <w:rsid w:val="083844CF"/>
    <w:rsid w:val="08421C63"/>
    <w:rsid w:val="084765B7"/>
    <w:rsid w:val="08521403"/>
    <w:rsid w:val="08537735"/>
    <w:rsid w:val="08552C8D"/>
    <w:rsid w:val="08602163"/>
    <w:rsid w:val="0862164B"/>
    <w:rsid w:val="088136B3"/>
    <w:rsid w:val="08814947"/>
    <w:rsid w:val="08852856"/>
    <w:rsid w:val="08A96637"/>
    <w:rsid w:val="08AA04F2"/>
    <w:rsid w:val="08AE77B2"/>
    <w:rsid w:val="08AF29A0"/>
    <w:rsid w:val="08B10CEF"/>
    <w:rsid w:val="08B1787B"/>
    <w:rsid w:val="08D04CFB"/>
    <w:rsid w:val="08D83784"/>
    <w:rsid w:val="090F7754"/>
    <w:rsid w:val="0916194D"/>
    <w:rsid w:val="093E408F"/>
    <w:rsid w:val="094B57DB"/>
    <w:rsid w:val="0950465B"/>
    <w:rsid w:val="09554F1B"/>
    <w:rsid w:val="09632C45"/>
    <w:rsid w:val="09661C9A"/>
    <w:rsid w:val="09742076"/>
    <w:rsid w:val="097E44AD"/>
    <w:rsid w:val="09815EC8"/>
    <w:rsid w:val="099731FB"/>
    <w:rsid w:val="09AA5F95"/>
    <w:rsid w:val="09B17C59"/>
    <w:rsid w:val="09DD7CB3"/>
    <w:rsid w:val="09E43F61"/>
    <w:rsid w:val="09EA7BE6"/>
    <w:rsid w:val="09FD373F"/>
    <w:rsid w:val="0A113C35"/>
    <w:rsid w:val="0A1C7D19"/>
    <w:rsid w:val="0A1D539A"/>
    <w:rsid w:val="0A2827F1"/>
    <w:rsid w:val="0A3A504E"/>
    <w:rsid w:val="0A3E626F"/>
    <w:rsid w:val="0A420397"/>
    <w:rsid w:val="0A4206E4"/>
    <w:rsid w:val="0A4F1263"/>
    <w:rsid w:val="0A5175B8"/>
    <w:rsid w:val="0A5B3A17"/>
    <w:rsid w:val="0A6A7751"/>
    <w:rsid w:val="0A6C5626"/>
    <w:rsid w:val="0A73243C"/>
    <w:rsid w:val="0A9843C3"/>
    <w:rsid w:val="0AA550FE"/>
    <w:rsid w:val="0AAE7017"/>
    <w:rsid w:val="0ABE3B43"/>
    <w:rsid w:val="0AD121EB"/>
    <w:rsid w:val="0AF7289E"/>
    <w:rsid w:val="0AFC0E16"/>
    <w:rsid w:val="0B020DEC"/>
    <w:rsid w:val="0B1B1BDC"/>
    <w:rsid w:val="0B216F71"/>
    <w:rsid w:val="0B3A0C90"/>
    <w:rsid w:val="0B3C5B90"/>
    <w:rsid w:val="0B6E1570"/>
    <w:rsid w:val="0B7726AC"/>
    <w:rsid w:val="0B7964A3"/>
    <w:rsid w:val="0B7A00E5"/>
    <w:rsid w:val="0B9D253C"/>
    <w:rsid w:val="0BAC35BA"/>
    <w:rsid w:val="0BB93566"/>
    <w:rsid w:val="0BC1232F"/>
    <w:rsid w:val="0BC54F26"/>
    <w:rsid w:val="0BC65D32"/>
    <w:rsid w:val="0BD90398"/>
    <w:rsid w:val="0BF67AE1"/>
    <w:rsid w:val="0C067427"/>
    <w:rsid w:val="0C0B3E5C"/>
    <w:rsid w:val="0C0D71A4"/>
    <w:rsid w:val="0C1008CA"/>
    <w:rsid w:val="0C134D39"/>
    <w:rsid w:val="0C290CE3"/>
    <w:rsid w:val="0C293E0C"/>
    <w:rsid w:val="0C673DE3"/>
    <w:rsid w:val="0C79408C"/>
    <w:rsid w:val="0C7C392C"/>
    <w:rsid w:val="0C85245E"/>
    <w:rsid w:val="0C890D0F"/>
    <w:rsid w:val="0CA33466"/>
    <w:rsid w:val="0CA50493"/>
    <w:rsid w:val="0CB42BD3"/>
    <w:rsid w:val="0CC210E3"/>
    <w:rsid w:val="0CC52361"/>
    <w:rsid w:val="0CFC3D79"/>
    <w:rsid w:val="0CFD0C75"/>
    <w:rsid w:val="0CFE16BC"/>
    <w:rsid w:val="0D133EA8"/>
    <w:rsid w:val="0D181CC2"/>
    <w:rsid w:val="0D1F2941"/>
    <w:rsid w:val="0D2C0B0E"/>
    <w:rsid w:val="0D2C6B6C"/>
    <w:rsid w:val="0D451A47"/>
    <w:rsid w:val="0D590CAC"/>
    <w:rsid w:val="0D610A53"/>
    <w:rsid w:val="0D765D05"/>
    <w:rsid w:val="0D7E1CDA"/>
    <w:rsid w:val="0D9C1C08"/>
    <w:rsid w:val="0DA27AF9"/>
    <w:rsid w:val="0DAB76A0"/>
    <w:rsid w:val="0DB2060B"/>
    <w:rsid w:val="0DCE7770"/>
    <w:rsid w:val="0DDA25F5"/>
    <w:rsid w:val="0DE52714"/>
    <w:rsid w:val="0E055129"/>
    <w:rsid w:val="0E0D1198"/>
    <w:rsid w:val="0E105FC5"/>
    <w:rsid w:val="0E1933A4"/>
    <w:rsid w:val="0E2C5A7A"/>
    <w:rsid w:val="0E3A2C43"/>
    <w:rsid w:val="0E4D0F08"/>
    <w:rsid w:val="0E503C09"/>
    <w:rsid w:val="0E6C0124"/>
    <w:rsid w:val="0E7E07BC"/>
    <w:rsid w:val="0E81574B"/>
    <w:rsid w:val="0EA14865"/>
    <w:rsid w:val="0EA74EAC"/>
    <w:rsid w:val="0EAE6B8C"/>
    <w:rsid w:val="0EBC2C13"/>
    <w:rsid w:val="0ECE1A31"/>
    <w:rsid w:val="0ED6315D"/>
    <w:rsid w:val="0EDF6777"/>
    <w:rsid w:val="0F066026"/>
    <w:rsid w:val="0F0B212D"/>
    <w:rsid w:val="0F11663E"/>
    <w:rsid w:val="0F224E1B"/>
    <w:rsid w:val="0F3C7D88"/>
    <w:rsid w:val="0F40605C"/>
    <w:rsid w:val="0F457E1C"/>
    <w:rsid w:val="0F8233B9"/>
    <w:rsid w:val="0F844610"/>
    <w:rsid w:val="0F922DDC"/>
    <w:rsid w:val="0F9D76EF"/>
    <w:rsid w:val="0FBB371E"/>
    <w:rsid w:val="0FC9733D"/>
    <w:rsid w:val="0FD6630C"/>
    <w:rsid w:val="0FDB516D"/>
    <w:rsid w:val="0FDF5F4D"/>
    <w:rsid w:val="0FE6128F"/>
    <w:rsid w:val="0FE765E2"/>
    <w:rsid w:val="0FF72261"/>
    <w:rsid w:val="10086CEA"/>
    <w:rsid w:val="101920A7"/>
    <w:rsid w:val="1029330E"/>
    <w:rsid w:val="102F1948"/>
    <w:rsid w:val="103459DE"/>
    <w:rsid w:val="103C6E35"/>
    <w:rsid w:val="103D12B9"/>
    <w:rsid w:val="104D0258"/>
    <w:rsid w:val="104D6510"/>
    <w:rsid w:val="1050737A"/>
    <w:rsid w:val="105B3F5C"/>
    <w:rsid w:val="106F5935"/>
    <w:rsid w:val="10740276"/>
    <w:rsid w:val="107D6D5B"/>
    <w:rsid w:val="107E395F"/>
    <w:rsid w:val="108919A7"/>
    <w:rsid w:val="108A61C4"/>
    <w:rsid w:val="108B1482"/>
    <w:rsid w:val="10981BE3"/>
    <w:rsid w:val="1098579D"/>
    <w:rsid w:val="10CA1296"/>
    <w:rsid w:val="10DC725A"/>
    <w:rsid w:val="10DE361D"/>
    <w:rsid w:val="10E14D09"/>
    <w:rsid w:val="10E62D75"/>
    <w:rsid w:val="10EC333D"/>
    <w:rsid w:val="1103441C"/>
    <w:rsid w:val="11172201"/>
    <w:rsid w:val="11276E91"/>
    <w:rsid w:val="115E2726"/>
    <w:rsid w:val="116346A1"/>
    <w:rsid w:val="116A4C36"/>
    <w:rsid w:val="11790E26"/>
    <w:rsid w:val="117E2659"/>
    <w:rsid w:val="117F4E8A"/>
    <w:rsid w:val="118275AC"/>
    <w:rsid w:val="11881DC6"/>
    <w:rsid w:val="118911CE"/>
    <w:rsid w:val="11983EF5"/>
    <w:rsid w:val="11AE4AB3"/>
    <w:rsid w:val="11B1684B"/>
    <w:rsid w:val="11BB464B"/>
    <w:rsid w:val="11DC2719"/>
    <w:rsid w:val="11E91EED"/>
    <w:rsid w:val="11EA02AB"/>
    <w:rsid w:val="11F55929"/>
    <w:rsid w:val="11F76756"/>
    <w:rsid w:val="12001E2E"/>
    <w:rsid w:val="1208327B"/>
    <w:rsid w:val="1219523D"/>
    <w:rsid w:val="121B735C"/>
    <w:rsid w:val="12201466"/>
    <w:rsid w:val="12273CCE"/>
    <w:rsid w:val="123141F1"/>
    <w:rsid w:val="123677DB"/>
    <w:rsid w:val="124B756E"/>
    <w:rsid w:val="124E4E76"/>
    <w:rsid w:val="125D0B07"/>
    <w:rsid w:val="12777492"/>
    <w:rsid w:val="12832EC2"/>
    <w:rsid w:val="12906FA0"/>
    <w:rsid w:val="129E3DA1"/>
    <w:rsid w:val="12A17265"/>
    <w:rsid w:val="12B210AC"/>
    <w:rsid w:val="12C26868"/>
    <w:rsid w:val="12C5218F"/>
    <w:rsid w:val="12E2427D"/>
    <w:rsid w:val="12E70C28"/>
    <w:rsid w:val="12F00CC4"/>
    <w:rsid w:val="130D768C"/>
    <w:rsid w:val="131F385A"/>
    <w:rsid w:val="1320202C"/>
    <w:rsid w:val="132638C2"/>
    <w:rsid w:val="133942B1"/>
    <w:rsid w:val="133E456E"/>
    <w:rsid w:val="13434E30"/>
    <w:rsid w:val="13632C5D"/>
    <w:rsid w:val="13697EA2"/>
    <w:rsid w:val="13765EE7"/>
    <w:rsid w:val="137A20FF"/>
    <w:rsid w:val="13807CBB"/>
    <w:rsid w:val="13925ABC"/>
    <w:rsid w:val="139277ED"/>
    <w:rsid w:val="139E4F9C"/>
    <w:rsid w:val="13B20870"/>
    <w:rsid w:val="13D0621A"/>
    <w:rsid w:val="13E56FE9"/>
    <w:rsid w:val="13F51662"/>
    <w:rsid w:val="13FD03E7"/>
    <w:rsid w:val="14037781"/>
    <w:rsid w:val="140645EF"/>
    <w:rsid w:val="14097683"/>
    <w:rsid w:val="140F3215"/>
    <w:rsid w:val="141B73AE"/>
    <w:rsid w:val="1447762F"/>
    <w:rsid w:val="144E337C"/>
    <w:rsid w:val="14540798"/>
    <w:rsid w:val="14540D66"/>
    <w:rsid w:val="145A0284"/>
    <w:rsid w:val="146B3E78"/>
    <w:rsid w:val="14741B8E"/>
    <w:rsid w:val="14742742"/>
    <w:rsid w:val="147C4FBB"/>
    <w:rsid w:val="147E4881"/>
    <w:rsid w:val="14917E34"/>
    <w:rsid w:val="149C3904"/>
    <w:rsid w:val="149F3A8F"/>
    <w:rsid w:val="14A82877"/>
    <w:rsid w:val="14BE5493"/>
    <w:rsid w:val="14DA0A55"/>
    <w:rsid w:val="14E64312"/>
    <w:rsid w:val="14EA63EE"/>
    <w:rsid w:val="14FB5ADC"/>
    <w:rsid w:val="150F1958"/>
    <w:rsid w:val="1514347B"/>
    <w:rsid w:val="151C2FDF"/>
    <w:rsid w:val="15210DFC"/>
    <w:rsid w:val="15255A26"/>
    <w:rsid w:val="152571E3"/>
    <w:rsid w:val="15291026"/>
    <w:rsid w:val="152A35FB"/>
    <w:rsid w:val="15341C89"/>
    <w:rsid w:val="15482B37"/>
    <w:rsid w:val="154A1E03"/>
    <w:rsid w:val="15535B4C"/>
    <w:rsid w:val="15556F76"/>
    <w:rsid w:val="155D1C50"/>
    <w:rsid w:val="155E490F"/>
    <w:rsid w:val="156445B1"/>
    <w:rsid w:val="156C601E"/>
    <w:rsid w:val="1583210B"/>
    <w:rsid w:val="15B713A7"/>
    <w:rsid w:val="15BA7736"/>
    <w:rsid w:val="15C46EBF"/>
    <w:rsid w:val="15C65C53"/>
    <w:rsid w:val="15CA7100"/>
    <w:rsid w:val="15D60738"/>
    <w:rsid w:val="15D87098"/>
    <w:rsid w:val="15E02780"/>
    <w:rsid w:val="15F4215A"/>
    <w:rsid w:val="15FE43FC"/>
    <w:rsid w:val="160265DC"/>
    <w:rsid w:val="16041BB8"/>
    <w:rsid w:val="161F24A9"/>
    <w:rsid w:val="16236E5B"/>
    <w:rsid w:val="16237A31"/>
    <w:rsid w:val="164433A6"/>
    <w:rsid w:val="16447B0B"/>
    <w:rsid w:val="16470CC0"/>
    <w:rsid w:val="16492AD6"/>
    <w:rsid w:val="16663036"/>
    <w:rsid w:val="166D09DB"/>
    <w:rsid w:val="166E6CF2"/>
    <w:rsid w:val="1673142F"/>
    <w:rsid w:val="167B5416"/>
    <w:rsid w:val="167C2165"/>
    <w:rsid w:val="168D6F84"/>
    <w:rsid w:val="16A00676"/>
    <w:rsid w:val="16A762B8"/>
    <w:rsid w:val="16AF3E20"/>
    <w:rsid w:val="16B574B3"/>
    <w:rsid w:val="16B7120E"/>
    <w:rsid w:val="16C320A2"/>
    <w:rsid w:val="16C51E87"/>
    <w:rsid w:val="16E02DFB"/>
    <w:rsid w:val="16FB298C"/>
    <w:rsid w:val="17040C52"/>
    <w:rsid w:val="17070624"/>
    <w:rsid w:val="1707462E"/>
    <w:rsid w:val="170B13F8"/>
    <w:rsid w:val="17161770"/>
    <w:rsid w:val="17260B05"/>
    <w:rsid w:val="173165D3"/>
    <w:rsid w:val="17337240"/>
    <w:rsid w:val="17343974"/>
    <w:rsid w:val="1734720E"/>
    <w:rsid w:val="173C2700"/>
    <w:rsid w:val="17437FD5"/>
    <w:rsid w:val="17522D26"/>
    <w:rsid w:val="175A008A"/>
    <w:rsid w:val="17607E22"/>
    <w:rsid w:val="17630090"/>
    <w:rsid w:val="17785AE6"/>
    <w:rsid w:val="177C595C"/>
    <w:rsid w:val="1783008E"/>
    <w:rsid w:val="17AA45E8"/>
    <w:rsid w:val="17AD70A7"/>
    <w:rsid w:val="17B91D38"/>
    <w:rsid w:val="17C91EDD"/>
    <w:rsid w:val="17D55E08"/>
    <w:rsid w:val="17DD0400"/>
    <w:rsid w:val="17EA08E6"/>
    <w:rsid w:val="17EC7993"/>
    <w:rsid w:val="17ED204A"/>
    <w:rsid w:val="17EF7B57"/>
    <w:rsid w:val="17FF3E78"/>
    <w:rsid w:val="180071C8"/>
    <w:rsid w:val="1807640B"/>
    <w:rsid w:val="180B4AED"/>
    <w:rsid w:val="18165147"/>
    <w:rsid w:val="18181FE7"/>
    <w:rsid w:val="181A59D0"/>
    <w:rsid w:val="182B48DC"/>
    <w:rsid w:val="183C1597"/>
    <w:rsid w:val="183F5205"/>
    <w:rsid w:val="1847675D"/>
    <w:rsid w:val="18510C10"/>
    <w:rsid w:val="18523302"/>
    <w:rsid w:val="18524E8C"/>
    <w:rsid w:val="18541B24"/>
    <w:rsid w:val="18647DF4"/>
    <w:rsid w:val="18686182"/>
    <w:rsid w:val="187A6AA7"/>
    <w:rsid w:val="187D3163"/>
    <w:rsid w:val="1880047E"/>
    <w:rsid w:val="18893BAC"/>
    <w:rsid w:val="188A33AD"/>
    <w:rsid w:val="18BC54A3"/>
    <w:rsid w:val="18CD48B8"/>
    <w:rsid w:val="18CE0F83"/>
    <w:rsid w:val="18CE2A94"/>
    <w:rsid w:val="18ED081C"/>
    <w:rsid w:val="19041283"/>
    <w:rsid w:val="19085454"/>
    <w:rsid w:val="191259C8"/>
    <w:rsid w:val="1921037A"/>
    <w:rsid w:val="19380941"/>
    <w:rsid w:val="19491D0C"/>
    <w:rsid w:val="19496827"/>
    <w:rsid w:val="19502E3B"/>
    <w:rsid w:val="197F32A9"/>
    <w:rsid w:val="197F368D"/>
    <w:rsid w:val="19827A50"/>
    <w:rsid w:val="19871201"/>
    <w:rsid w:val="199360F7"/>
    <w:rsid w:val="19AA3307"/>
    <w:rsid w:val="19AC5D76"/>
    <w:rsid w:val="19B841BC"/>
    <w:rsid w:val="19D47D7F"/>
    <w:rsid w:val="19F75C8F"/>
    <w:rsid w:val="19FE3FCA"/>
    <w:rsid w:val="1A04741A"/>
    <w:rsid w:val="1A0A01B4"/>
    <w:rsid w:val="1A1B109A"/>
    <w:rsid w:val="1A361CCD"/>
    <w:rsid w:val="1A476FD4"/>
    <w:rsid w:val="1A5F56EF"/>
    <w:rsid w:val="1A823EF4"/>
    <w:rsid w:val="1A8A30A3"/>
    <w:rsid w:val="1A91495D"/>
    <w:rsid w:val="1A9549C7"/>
    <w:rsid w:val="1A975A4D"/>
    <w:rsid w:val="1A9A4569"/>
    <w:rsid w:val="1AA104FE"/>
    <w:rsid w:val="1AAD0FC1"/>
    <w:rsid w:val="1AB4526D"/>
    <w:rsid w:val="1AB5620A"/>
    <w:rsid w:val="1AB6249F"/>
    <w:rsid w:val="1AB8772D"/>
    <w:rsid w:val="1ACC7780"/>
    <w:rsid w:val="1AEF067B"/>
    <w:rsid w:val="1AFD0646"/>
    <w:rsid w:val="1B09223A"/>
    <w:rsid w:val="1B271747"/>
    <w:rsid w:val="1B284228"/>
    <w:rsid w:val="1B2D6C87"/>
    <w:rsid w:val="1B3B6181"/>
    <w:rsid w:val="1B85092B"/>
    <w:rsid w:val="1B91175F"/>
    <w:rsid w:val="1B966317"/>
    <w:rsid w:val="1BB13E2A"/>
    <w:rsid w:val="1BC506BA"/>
    <w:rsid w:val="1BC571BF"/>
    <w:rsid w:val="1BD01204"/>
    <w:rsid w:val="1BE61DD5"/>
    <w:rsid w:val="1BEA56A2"/>
    <w:rsid w:val="1BEA775E"/>
    <w:rsid w:val="1BEB0D37"/>
    <w:rsid w:val="1BFD615C"/>
    <w:rsid w:val="1C0149C5"/>
    <w:rsid w:val="1C1549DD"/>
    <w:rsid w:val="1C223515"/>
    <w:rsid w:val="1C2A473F"/>
    <w:rsid w:val="1C2C1297"/>
    <w:rsid w:val="1C3751B5"/>
    <w:rsid w:val="1C38377D"/>
    <w:rsid w:val="1C5E6F7A"/>
    <w:rsid w:val="1C6A7C5D"/>
    <w:rsid w:val="1C6B787B"/>
    <w:rsid w:val="1C7E6B52"/>
    <w:rsid w:val="1C881155"/>
    <w:rsid w:val="1C921FEB"/>
    <w:rsid w:val="1C9A787B"/>
    <w:rsid w:val="1C9E0600"/>
    <w:rsid w:val="1CA145FC"/>
    <w:rsid w:val="1CA65752"/>
    <w:rsid w:val="1CA76AAC"/>
    <w:rsid w:val="1CAF564E"/>
    <w:rsid w:val="1CB54AAA"/>
    <w:rsid w:val="1CC2405F"/>
    <w:rsid w:val="1CC92DE0"/>
    <w:rsid w:val="1CD65A37"/>
    <w:rsid w:val="1CEA26EF"/>
    <w:rsid w:val="1CF34D2B"/>
    <w:rsid w:val="1D1201EA"/>
    <w:rsid w:val="1D2161A8"/>
    <w:rsid w:val="1D295112"/>
    <w:rsid w:val="1D3359BC"/>
    <w:rsid w:val="1D422455"/>
    <w:rsid w:val="1D5153F7"/>
    <w:rsid w:val="1D564939"/>
    <w:rsid w:val="1D677574"/>
    <w:rsid w:val="1D7E1A38"/>
    <w:rsid w:val="1D8C721D"/>
    <w:rsid w:val="1D973494"/>
    <w:rsid w:val="1DA45470"/>
    <w:rsid w:val="1DB3745E"/>
    <w:rsid w:val="1DB4564D"/>
    <w:rsid w:val="1DCA3238"/>
    <w:rsid w:val="1DCB5DFD"/>
    <w:rsid w:val="1DCE02ED"/>
    <w:rsid w:val="1DD4390E"/>
    <w:rsid w:val="1DED678A"/>
    <w:rsid w:val="1E070235"/>
    <w:rsid w:val="1E084B90"/>
    <w:rsid w:val="1E1A026A"/>
    <w:rsid w:val="1E1F2F70"/>
    <w:rsid w:val="1E2A6DE5"/>
    <w:rsid w:val="1E357F37"/>
    <w:rsid w:val="1E3E0AAC"/>
    <w:rsid w:val="1E524605"/>
    <w:rsid w:val="1E733311"/>
    <w:rsid w:val="1E9410B9"/>
    <w:rsid w:val="1E9C039B"/>
    <w:rsid w:val="1EA518B7"/>
    <w:rsid w:val="1EAB1E40"/>
    <w:rsid w:val="1EB21B19"/>
    <w:rsid w:val="1EC06A9C"/>
    <w:rsid w:val="1EC47A6F"/>
    <w:rsid w:val="1ED80529"/>
    <w:rsid w:val="1EDE2A8C"/>
    <w:rsid w:val="1F0C0A63"/>
    <w:rsid w:val="1F425398"/>
    <w:rsid w:val="1F42734B"/>
    <w:rsid w:val="1F444EB4"/>
    <w:rsid w:val="1F4B22A5"/>
    <w:rsid w:val="1F540594"/>
    <w:rsid w:val="1F7A458A"/>
    <w:rsid w:val="1F7F3EA8"/>
    <w:rsid w:val="1F8B2886"/>
    <w:rsid w:val="1F8C12CE"/>
    <w:rsid w:val="1F8C6A66"/>
    <w:rsid w:val="1F9552E6"/>
    <w:rsid w:val="1F963FA6"/>
    <w:rsid w:val="1FA11DB3"/>
    <w:rsid w:val="1FA82606"/>
    <w:rsid w:val="1FAE0FC2"/>
    <w:rsid w:val="1FB5356F"/>
    <w:rsid w:val="1FBA0558"/>
    <w:rsid w:val="1FC72E75"/>
    <w:rsid w:val="1FDA649F"/>
    <w:rsid w:val="1FEE4BB1"/>
    <w:rsid w:val="1FF31FC7"/>
    <w:rsid w:val="1FF50E1D"/>
    <w:rsid w:val="1FF92C08"/>
    <w:rsid w:val="1FFC294B"/>
    <w:rsid w:val="1FFD27F1"/>
    <w:rsid w:val="1FFF67DB"/>
    <w:rsid w:val="20071FAE"/>
    <w:rsid w:val="200C4D16"/>
    <w:rsid w:val="200F4E0E"/>
    <w:rsid w:val="201A5544"/>
    <w:rsid w:val="201C1A81"/>
    <w:rsid w:val="20223787"/>
    <w:rsid w:val="20402004"/>
    <w:rsid w:val="204503D0"/>
    <w:rsid w:val="204A117D"/>
    <w:rsid w:val="204F779F"/>
    <w:rsid w:val="20541539"/>
    <w:rsid w:val="2062751F"/>
    <w:rsid w:val="206A518B"/>
    <w:rsid w:val="20713081"/>
    <w:rsid w:val="20827FB3"/>
    <w:rsid w:val="208E7A9C"/>
    <w:rsid w:val="2090390A"/>
    <w:rsid w:val="20911D0D"/>
    <w:rsid w:val="209250E2"/>
    <w:rsid w:val="20A3138D"/>
    <w:rsid w:val="20AC63D1"/>
    <w:rsid w:val="20B23BF9"/>
    <w:rsid w:val="20C217D2"/>
    <w:rsid w:val="20C37781"/>
    <w:rsid w:val="20C70A44"/>
    <w:rsid w:val="20E074B0"/>
    <w:rsid w:val="20EF3A97"/>
    <w:rsid w:val="2102542F"/>
    <w:rsid w:val="21051803"/>
    <w:rsid w:val="21125612"/>
    <w:rsid w:val="21202E05"/>
    <w:rsid w:val="21353383"/>
    <w:rsid w:val="21647812"/>
    <w:rsid w:val="217D4EE5"/>
    <w:rsid w:val="219C73AC"/>
    <w:rsid w:val="21A05307"/>
    <w:rsid w:val="21B71D07"/>
    <w:rsid w:val="21BC01E2"/>
    <w:rsid w:val="21D30B38"/>
    <w:rsid w:val="21D960B0"/>
    <w:rsid w:val="21E957A6"/>
    <w:rsid w:val="21F41CBF"/>
    <w:rsid w:val="21F71182"/>
    <w:rsid w:val="21FE5B08"/>
    <w:rsid w:val="21FF01C8"/>
    <w:rsid w:val="220D479B"/>
    <w:rsid w:val="2238622F"/>
    <w:rsid w:val="223F7819"/>
    <w:rsid w:val="2242309B"/>
    <w:rsid w:val="22500405"/>
    <w:rsid w:val="22631006"/>
    <w:rsid w:val="2279654E"/>
    <w:rsid w:val="227D640D"/>
    <w:rsid w:val="227E3A51"/>
    <w:rsid w:val="22954D13"/>
    <w:rsid w:val="2297681D"/>
    <w:rsid w:val="22A124C5"/>
    <w:rsid w:val="22A345DA"/>
    <w:rsid w:val="22AF1B3F"/>
    <w:rsid w:val="22B0745A"/>
    <w:rsid w:val="22B81708"/>
    <w:rsid w:val="22D43AAC"/>
    <w:rsid w:val="22DE7BD1"/>
    <w:rsid w:val="23165C42"/>
    <w:rsid w:val="233F0F31"/>
    <w:rsid w:val="2349647A"/>
    <w:rsid w:val="23513215"/>
    <w:rsid w:val="23621DAC"/>
    <w:rsid w:val="236300D7"/>
    <w:rsid w:val="23681488"/>
    <w:rsid w:val="237C685B"/>
    <w:rsid w:val="238930AF"/>
    <w:rsid w:val="23AB4C3C"/>
    <w:rsid w:val="23AC52E4"/>
    <w:rsid w:val="23B27521"/>
    <w:rsid w:val="23C34F73"/>
    <w:rsid w:val="23CC73B5"/>
    <w:rsid w:val="23DC7F09"/>
    <w:rsid w:val="23E065AA"/>
    <w:rsid w:val="23F62280"/>
    <w:rsid w:val="23F65A3A"/>
    <w:rsid w:val="23FE05CA"/>
    <w:rsid w:val="24055ADF"/>
    <w:rsid w:val="24114C1A"/>
    <w:rsid w:val="24117884"/>
    <w:rsid w:val="24272D4A"/>
    <w:rsid w:val="2437505F"/>
    <w:rsid w:val="24382325"/>
    <w:rsid w:val="2444474B"/>
    <w:rsid w:val="244E4275"/>
    <w:rsid w:val="24544DB3"/>
    <w:rsid w:val="24570913"/>
    <w:rsid w:val="24603EAC"/>
    <w:rsid w:val="24664882"/>
    <w:rsid w:val="2473334F"/>
    <w:rsid w:val="24736861"/>
    <w:rsid w:val="248A4FF8"/>
    <w:rsid w:val="248C3684"/>
    <w:rsid w:val="2499779A"/>
    <w:rsid w:val="24B3239E"/>
    <w:rsid w:val="24C53048"/>
    <w:rsid w:val="24E452E8"/>
    <w:rsid w:val="24FA4702"/>
    <w:rsid w:val="24FC4E7A"/>
    <w:rsid w:val="25033ACB"/>
    <w:rsid w:val="250473AF"/>
    <w:rsid w:val="251147CF"/>
    <w:rsid w:val="25115A59"/>
    <w:rsid w:val="2514381D"/>
    <w:rsid w:val="25170F75"/>
    <w:rsid w:val="25173C55"/>
    <w:rsid w:val="251C4409"/>
    <w:rsid w:val="252B5FC3"/>
    <w:rsid w:val="25361078"/>
    <w:rsid w:val="25547A89"/>
    <w:rsid w:val="25657FA1"/>
    <w:rsid w:val="25671DB5"/>
    <w:rsid w:val="256866D1"/>
    <w:rsid w:val="2568748F"/>
    <w:rsid w:val="256D44DE"/>
    <w:rsid w:val="25765791"/>
    <w:rsid w:val="25945D34"/>
    <w:rsid w:val="25A11AFD"/>
    <w:rsid w:val="25CD449C"/>
    <w:rsid w:val="25D879ED"/>
    <w:rsid w:val="25E66AE2"/>
    <w:rsid w:val="25E90569"/>
    <w:rsid w:val="25EA5186"/>
    <w:rsid w:val="25F314EA"/>
    <w:rsid w:val="25F435CB"/>
    <w:rsid w:val="25FD5EA7"/>
    <w:rsid w:val="26050506"/>
    <w:rsid w:val="26215F9B"/>
    <w:rsid w:val="26235444"/>
    <w:rsid w:val="26251EC3"/>
    <w:rsid w:val="26345044"/>
    <w:rsid w:val="26437C5F"/>
    <w:rsid w:val="264B6DCB"/>
    <w:rsid w:val="265138DF"/>
    <w:rsid w:val="26515B68"/>
    <w:rsid w:val="265363AC"/>
    <w:rsid w:val="265A5393"/>
    <w:rsid w:val="26661A43"/>
    <w:rsid w:val="267927EC"/>
    <w:rsid w:val="267A6CBB"/>
    <w:rsid w:val="26861E1A"/>
    <w:rsid w:val="269042B2"/>
    <w:rsid w:val="26B97DDA"/>
    <w:rsid w:val="26DE34DC"/>
    <w:rsid w:val="26F03A17"/>
    <w:rsid w:val="26FA5123"/>
    <w:rsid w:val="270B053D"/>
    <w:rsid w:val="270B3544"/>
    <w:rsid w:val="271276A5"/>
    <w:rsid w:val="27294B68"/>
    <w:rsid w:val="27313553"/>
    <w:rsid w:val="27372EF1"/>
    <w:rsid w:val="27396DDF"/>
    <w:rsid w:val="27442A52"/>
    <w:rsid w:val="27684C36"/>
    <w:rsid w:val="276F7ED1"/>
    <w:rsid w:val="27A97E08"/>
    <w:rsid w:val="27DE247F"/>
    <w:rsid w:val="27EB15E3"/>
    <w:rsid w:val="2841075F"/>
    <w:rsid w:val="284F6659"/>
    <w:rsid w:val="28505580"/>
    <w:rsid w:val="2855766F"/>
    <w:rsid w:val="28584A3E"/>
    <w:rsid w:val="285E5C57"/>
    <w:rsid w:val="286D7F28"/>
    <w:rsid w:val="28717394"/>
    <w:rsid w:val="2883096F"/>
    <w:rsid w:val="28972500"/>
    <w:rsid w:val="289B5759"/>
    <w:rsid w:val="289B7340"/>
    <w:rsid w:val="289D1648"/>
    <w:rsid w:val="289F6796"/>
    <w:rsid w:val="28D94F2A"/>
    <w:rsid w:val="28E175A5"/>
    <w:rsid w:val="28EC5375"/>
    <w:rsid w:val="28F02398"/>
    <w:rsid w:val="28F21675"/>
    <w:rsid w:val="28FD5714"/>
    <w:rsid w:val="290949E4"/>
    <w:rsid w:val="29177AB5"/>
    <w:rsid w:val="29230F3C"/>
    <w:rsid w:val="29292FD2"/>
    <w:rsid w:val="29313184"/>
    <w:rsid w:val="2934559A"/>
    <w:rsid w:val="29446E23"/>
    <w:rsid w:val="294F1F1D"/>
    <w:rsid w:val="297A55EF"/>
    <w:rsid w:val="298E174C"/>
    <w:rsid w:val="29D129E0"/>
    <w:rsid w:val="29D3436C"/>
    <w:rsid w:val="29F55A60"/>
    <w:rsid w:val="29F76E0C"/>
    <w:rsid w:val="2A0266BB"/>
    <w:rsid w:val="2A03763D"/>
    <w:rsid w:val="2A137C3A"/>
    <w:rsid w:val="2A295980"/>
    <w:rsid w:val="2A336BB0"/>
    <w:rsid w:val="2A36275A"/>
    <w:rsid w:val="2A386351"/>
    <w:rsid w:val="2A411076"/>
    <w:rsid w:val="2A45644D"/>
    <w:rsid w:val="2A462535"/>
    <w:rsid w:val="2A64090B"/>
    <w:rsid w:val="2A6D6578"/>
    <w:rsid w:val="2A7C4FDD"/>
    <w:rsid w:val="2A922F6A"/>
    <w:rsid w:val="2AA14B34"/>
    <w:rsid w:val="2AAF7B02"/>
    <w:rsid w:val="2AB85EFD"/>
    <w:rsid w:val="2ABA1EEF"/>
    <w:rsid w:val="2ABA6034"/>
    <w:rsid w:val="2AC415E4"/>
    <w:rsid w:val="2AC46063"/>
    <w:rsid w:val="2ADF4237"/>
    <w:rsid w:val="2AE10AC7"/>
    <w:rsid w:val="2AE964DE"/>
    <w:rsid w:val="2B063FC6"/>
    <w:rsid w:val="2B32656A"/>
    <w:rsid w:val="2B33698C"/>
    <w:rsid w:val="2B3825A3"/>
    <w:rsid w:val="2B416F9C"/>
    <w:rsid w:val="2B4705B3"/>
    <w:rsid w:val="2B4C4561"/>
    <w:rsid w:val="2B600B21"/>
    <w:rsid w:val="2B691A01"/>
    <w:rsid w:val="2B6F32B8"/>
    <w:rsid w:val="2B725D67"/>
    <w:rsid w:val="2B7633C4"/>
    <w:rsid w:val="2B9370D5"/>
    <w:rsid w:val="2B9608DC"/>
    <w:rsid w:val="2BA33E5D"/>
    <w:rsid w:val="2BB3575A"/>
    <w:rsid w:val="2BB40D61"/>
    <w:rsid w:val="2BC02EFB"/>
    <w:rsid w:val="2BC23C99"/>
    <w:rsid w:val="2BC82A66"/>
    <w:rsid w:val="2BC87028"/>
    <w:rsid w:val="2BCD73A3"/>
    <w:rsid w:val="2BDF128E"/>
    <w:rsid w:val="2BEE0DD5"/>
    <w:rsid w:val="2C134FA0"/>
    <w:rsid w:val="2C432A9E"/>
    <w:rsid w:val="2C4622EF"/>
    <w:rsid w:val="2C497010"/>
    <w:rsid w:val="2C755383"/>
    <w:rsid w:val="2C7B6070"/>
    <w:rsid w:val="2C994E0F"/>
    <w:rsid w:val="2C9A0DA6"/>
    <w:rsid w:val="2CA247C7"/>
    <w:rsid w:val="2CB27F9D"/>
    <w:rsid w:val="2CC25A9F"/>
    <w:rsid w:val="2CDD3CAE"/>
    <w:rsid w:val="2CF35FC1"/>
    <w:rsid w:val="2CF51E41"/>
    <w:rsid w:val="2CFA6686"/>
    <w:rsid w:val="2D1826DB"/>
    <w:rsid w:val="2D362396"/>
    <w:rsid w:val="2D413D0F"/>
    <w:rsid w:val="2D517A3E"/>
    <w:rsid w:val="2D8A025A"/>
    <w:rsid w:val="2DC210A0"/>
    <w:rsid w:val="2DDC5474"/>
    <w:rsid w:val="2DE643A8"/>
    <w:rsid w:val="2DF71B21"/>
    <w:rsid w:val="2DFD2594"/>
    <w:rsid w:val="2E0E04DA"/>
    <w:rsid w:val="2E1A0F45"/>
    <w:rsid w:val="2E210323"/>
    <w:rsid w:val="2E3A5E57"/>
    <w:rsid w:val="2E43224B"/>
    <w:rsid w:val="2E460DB3"/>
    <w:rsid w:val="2E534CCB"/>
    <w:rsid w:val="2E6A1295"/>
    <w:rsid w:val="2E771992"/>
    <w:rsid w:val="2E7819AE"/>
    <w:rsid w:val="2E8165FE"/>
    <w:rsid w:val="2E8D5417"/>
    <w:rsid w:val="2EA25DF1"/>
    <w:rsid w:val="2EAB3480"/>
    <w:rsid w:val="2EAF2E19"/>
    <w:rsid w:val="2EAF6FB7"/>
    <w:rsid w:val="2EB12D35"/>
    <w:rsid w:val="2EB845E6"/>
    <w:rsid w:val="2EB85215"/>
    <w:rsid w:val="2EC05918"/>
    <w:rsid w:val="2EC4302F"/>
    <w:rsid w:val="2ECF513E"/>
    <w:rsid w:val="2ED6339E"/>
    <w:rsid w:val="2EE91C50"/>
    <w:rsid w:val="2EF37D5C"/>
    <w:rsid w:val="2F0E7FE1"/>
    <w:rsid w:val="2F100A1D"/>
    <w:rsid w:val="2F2A3295"/>
    <w:rsid w:val="2F2E1DDB"/>
    <w:rsid w:val="2F2F7A6A"/>
    <w:rsid w:val="2F3C4C27"/>
    <w:rsid w:val="2F3F1388"/>
    <w:rsid w:val="2F4F49C8"/>
    <w:rsid w:val="2F610ED6"/>
    <w:rsid w:val="2F6D7B0F"/>
    <w:rsid w:val="2F7C1B3E"/>
    <w:rsid w:val="2F7C5C72"/>
    <w:rsid w:val="2F825485"/>
    <w:rsid w:val="2F93012F"/>
    <w:rsid w:val="2FB64B1A"/>
    <w:rsid w:val="2FBA4275"/>
    <w:rsid w:val="2FBF2746"/>
    <w:rsid w:val="2FC76E54"/>
    <w:rsid w:val="2FE2157C"/>
    <w:rsid w:val="2FFC1076"/>
    <w:rsid w:val="2FFC29E0"/>
    <w:rsid w:val="300E033F"/>
    <w:rsid w:val="30212D06"/>
    <w:rsid w:val="30253DE1"/>
    <w:rsid w:val="303116B6"/>
    <w:rsid w:val="305B2150"/>
    <w:rsid w:val="30690D7C"/>
    <w:rsid w:val="306A09D2"/>
    <w:rsid w:val="307A70B4"/>
    <w:rsid w:val="30865823"/>
    <w:rsid w:val="308B5402"/>
    <w:rsid w:val="308F52D7"/>
    <w:rsid w:val="309009C4"/>
    <w:rsid w:val="30905439"/>
    <w:rsid w:val="309839BA"/>
    <w:rsid w:val="309A6E42"/>
    <w:rsid w:val="309C380A"/>
    <w:rsid w:val="309F47AF"/>
    <w:rsid w:val="30C319E6"/>
    <w:rsid w:val="30CB3662"/>
    <w:rsid w:val="30F06B0B"/>
    <w:rsid w:val="30F15CF5"/>
    <w:rsid w:val="30F17F44"/>
    <w:rsid w:val="30F37D70"/>
    <w:rsid w:val="30F67C9D"/>
    <w:rsid w:val="30FB0486"/>
    <w:rsid w:val="30FD7866"/>
    <w:rsid w:val="310254C9"/>
    <w:rsid w:val="31194288"/>
    <w:rsid w:val="311B5A86"/>
    <w:rsid w:val="3129719C"/>
    <w:rsid w:val="312E2CD5"/>
    <w:rsid w:val="313710C3"/>
    <w:rsid w:val="31553E45"/>
    <w:rsid w:val="31560CFD"/>
    <w:rsid w:val="3164418B"/>
    <w:rsid w:val="316D3668"/>
    <w:rsid w:val="316E3767"/>
    <w:rsid w:val="31885FB2"/>
    <w:rsid w:val="31AC3C5A"/>
    <w:rsid w:val="31AE5AAF"/>
    <w:rsid w:val="31C436A8"/>
    <w:rsid w:val="31CF670F"/>
    <w:rsid w:val="31DE2D70"/>
    <w:rsid w:val="31DE525C"/>
    <w:rsid w:val="31F44B51"/>
    <w:rsid w:val="31F60EC3"/>
    <w:rsid w:val="31F75A39"/>
    <w:rsid w:val="31FA5711"/>
    <w:rsid w:val="31FB1D4B"/>
    <w:rsid w:val="320739FD"/>
    <w:rsid w:val="320F6C6B"/>
    <w:rsid w:val="321A58C1"/>
    <w:rsid w:val="322053A2"/>
    <w:rsid w:val="32363299"/>
    <w:rsid w:val="32385E32"/>
    <w:rsid w:val="3239436A"/>
    <w:rsid w:val="323D5D94"/>
    <w:rsid w:val="32477C06"/>
    <w:rsid w:val="32504562"/>
    <w:rsid w:val="325B4555"/>
    <w:rsid w:val="327465B8"/>
    <w:rsid w:val="32A856ED"/>
    <w:rsid w:val="32F568A2"/>
    <w:rsid w:val="33067D46"/>
    <w:rsid w:val="330E7F3C"/>
    <w:rsid w:val="33232AF7"/>
    <w:rsid w:val="332B6FC0"/>
    <w:rsid w:val="33336AD5"/>
    <w:rsid w:val="33410554"/>
    <w:rsid w:val="334F7EBA"/>
    <w:rsid w:val="33760FDA"/>
    <w:rsid w:val="337F2CB9"/>
    <w:rsid w:val="33832196"/>
    <w:rsid w:val="33842B4E"/>
    <w:rsid w:val="33890376"/>
    <w:rsid w:val="33916A65"/>
    <w:rsid w:val="33A872E7"/>
    <w:rsid w:val="33AB42F1"/>
    <w:rsid w:val="33B2493D"/>
    <w:rsid w:val="33BA3781"/>
    <w:rsid w:val="33D06842"/>
    <w:rsid w:val="33D46E27"/>
    <w:rsid w:val="33E14E73"/>
    <w:rsid w:val="33FC19EC"/>
    <w:rsid w:val="33FD3253"/>
    <w:rsid w:val="340B23ED"/>
    <w:rsid w:val="340D2654"/>
    <w:rsid w:val="340D35B7"/>
    <w:rsid w:val="34136A92"/>
    <w:rsid w:val="341F33B2"/>
    <w:rsid w:val="341F4363"/>
    <w:rsid w:val="344072B4"/>
    <w:rsid w:val="34624A7A"/>
    <w:rsid w:val="346D5941"/>
    <w:rsid w:val="34750B3A"/>
    <w:rsid w:val="34787A2A"/>
    <w:rsid w:val="347C1484"/>
    <w:rsid w:val="348367C4"/>
    <w:rsid w:val="349A55D1"/>
    <w:rsid w:val="34B41CAF"/>
    <w:rsid w:val="34B864FB"/>
    <w:rsid w:val="34B9602F"/>
    <w:rsid w:val="34C46D86"/>
    <w:rsid w:val="34D507EF"/>
    <w:rsid w:val="34EB5A75"/>
    <w:rsid w:val="34EC3CDE"/>
    <w:rsid w:val="34FF145B"/>
    <w:rsid w:val="350824F0"/>
    <w:rsid w:val="35093FBF"/>
    <w:rsid w:val="350C6C9C"/>
    <w:rsid w:val="35144757"/>
    <w:rsid w:val="351510AA"/>
    <w:rsid w:val="3516662C"/>
    <w:rsid w:val="352349F3"/>
    <w:rsid w:val="35580912"/>
    <w:rsid w:val="35583E0E"/>
    <w:rsid w:val="35615CB9"/>
    <w:rsid w:val="35724F36"/>
    <w:rsid w:val="35736345"/>
    <w:rsid w:val="35925E49"/>
    <w:rsid w:val="359D50D5"/>
    <w:rsid w:val="35B2749F"/>
    <w:rsid w:val="35C53248"/>
    <w:rsid w:val="35C72DC5"/>
    <w:rsid w:val="35CB7EE1"/>
    <w:rsid w:val="35CC66A2"/>
    <w:rsid w:val="35D72290"/>
    <w:rsid w:val="35D74F8D"/>
    <w:rsid w:val="35DB69C8"/>
    <w:rsid w:val="35E8124A"/>
    <w:rsid w:val="35F74FBE"/>
    <w:rsid w:val="35F90F94"/>
    <w:rsid w:val="35FD1EC4"/>
    <w:rsid w:val="35FE240C"/>
    <w:rsid w:val="36111529"/>
    <w:rsid w:val="36232B16"/>
    <w:rsid w:val="3626107C"/>
    <w:rsid w:val="362B6D56"/>
    <w:rsid w:val="36434E30"/>
    <w:rsid w:val="364F1AF5"/>
    <w:rsid w:val="36554268"/>
    <w:rsid w:val="36594571"/>
    <w:rsid w:val="365F19CB"/>
    <w:rsid w:val="36665AA9"/>
    <w:rsid w:val="366B447F"/>
    <w:rsid w:val="3687761E"/>
    <w:rsid w:val="368D2423"/>
    <w:rsid w:val="369C13E6"/>
    <w:rsid w:val="36A17246"/>
    <w:rsid w:val="36AE1A7E"/>
    <w:rsid w:val="36B61ECD"/>
    <w:rsid w:val="36B63150"/>
    <w:rsid w:val="36C91FD7"/>
    <w:rsid w:val="36D961F0"/>
    <w:rsid w:val="36DE6F1B"/>
    <w:rsid w:val="36EE3343"/>
    <w:rsid w:val="36EF688C"/>
    <w:rsid w:val="36F37B3B"/>
    <w:rsid w:val="3705262F"/>
    <w:rsid w:val="37125DD2"/>
    <w:rsid w:val="372466DB"/>
    <w:rsid w:val="37282367"/>
    <w:rsid w:val="372E6A97"/>
    <w:rsid w:val="373960C7"/>
    <w:rsid w:val="374F083B"/>
    <w:rsid w:val="3753495D"/>
    <w:rsid w:val="37687F84"/>
    <w:rsid w:val="37702D22"/>
    <w:rsid w:val="3774688D"/>
    <w:rsid w:val="37762593"/>
    <w:rsid w:val="37855190"/>
    <w:rsid w:val="3786361B"/>
    <w:rsid w:val="378C4F07"/>
    <w:rsid w:val="378C5CFE"/>
    <w:rsid w:val="37BB4C6A"/>
    <w:rsid w:val="37C97ABF"/>
    <w:rsid w:val="37CB5069"/>
    <w:rsid w:val="37D7381D"/>
    <w:rsid w:val="37F53357"/>
    <w:rsid w:val="37F87F1C"/>
    <w:rsid w:val="37FA5C2F"/>
    <w:rsid w:val="381B14AE"/>
    <w:rsid w:val="38305ED6"/>
    <w:rsid w:val="3837797D"/>
    <w:rsid w:val="384E4737"/>
    <w:rsid w:val="385A319C"/>
    <w:rsid w:val="387A464A"/>
    <w:rsid w:val="388C52CE"/>
    <w:rsid w:val="38986B05"/>
    <w:rsid w:val="389E78F4"/>
    <w:rsid w:val="38A25136"/>
    <w:rsid w:val="38A722E3"/>
    <w:rsid w:val="38AD7897"/>
    <w:rsid w:val="38C31251"/>
    <w:rsid w:val="38C81F2A"/>
    <w:rsid w:val="39042FDC"/>
    <w:rsid w:val="3908283D"/>
    <w:rsid w:val="390D48CE"/>
    <w:rsid w:val="3914560E"/>
    <w:rsid w:val="392B1378"/>
    <w:rsid w:val="392C2EE1"/>
    <w:rsid w:val="392E64F7"/>
    <w:rsid w:val="393344C4"/>
    <w:rsid w:val="393C7751"/>
    <w:rsid w:val="395254AB"/>
    <w:rsid w:val="39554D7C"/>
    <w:rsid w:val="3991111F"/>
    <w:rsid w:val="39953EF6"/>
    <w:rsid w:val="39986C58"/>
    <w:rsid w:val="39AE2500"/>
    <w:rsid w:val="39B2219B"/>
    <w:rsid w:val="39B477CF"/>
    <w:rsid w:val="39BB2BDF"/>
    <w:rsid w:val="39C44B0D"/>
    <w:rsid w:val="39C903C6"/>
    <w:rsid w:val="39C97967"/>
    <w:rsid w:val="39CB6F5F"/>
    <w:rsid w:val="39D74761"/>
    <w:rsid w:val="3A0038F6"/>
    <w:rsid w:val="3A0A4BA6"/>
    <w:rsid w:val="3A0B2E23"/>
    <w:rsid w:val="3A0E758E"/>
    <w:rsid w:val="3A111BC0"/>
    <w:rsid w:val="3A35112A"/>
    <w:rsid w:val="3A3538C1"/>
    <w:rsid w:val="3A3B2A29"/>
    <w:rsid w:val="3A453DC8"/>
    <w:rsid w:val="3A454808"/>
    <w:rsid w:val="3A5136EA"/>
    <w:rsid w:val="3A696236"/>
    <w:rsid w:val="3A6A183C"/>
    <w:rsid w:val="3A8006B3"/>
    <w:rsid w:val="3A8226A7"/>
    <w:rsid w:val="3A9C60B0"/>
    <w:rsid w:val="3AB66FBB"/>
    <w:rsid w:val="3AB81437"/>
    <w:rsid w:val="3ADD21F0"/>
    <w:rsid w:val="3ADE3F02"/>
    <w:rsid w:val="3AEE0DAD"/>
    <w:rsid w:val="3B0F03C9"/>
    <w:rsid w:val="3B0F31F4"/>
    <w:rsid w:val="3B164137"/>
    <w:rsid w:val="3B1904FD"/>
    <w:rsid w:val="3B1C0FE2"/>
    <w:rsid w:val="3B2C1F14"/>
    <w:rsid w:val="3B3643E6"/>
    <w:rsid w:val="3B3C5605"/>
    <w:rsid w:val="3B3C58CC"/>
    <w:rsid w:val="3B4C19C9"/>
    <w:rsid w:val="3B4C6E5A"/>
    <w:rsid w:val="3B5467B5"/>
    <w:rsid w:val="3B5625DE"/>
    <w:rsid w:val="3B5C2573"/>
    <w:rsid w:val="3B5D0B66"/>
    <w:rsid w:val="3B6D0702"/>
    <w:rsid w:val="3B6E1FA2"/>
    <w:rsid w:val="3B6E40B2"/>
    <w:rsid w:val="3B702E61"/>
    <w:rsid w:val="3B704077"/>
    <w:rsid w:val="3B7443D3"/>
    <w:rsid w:val="3B7C0B2F"/>
    <w:rsid w:val="3B7F6E69"/>
    <w:rsid w:val="3B8B022D"/>
    <w:rsid w:val="3B8D3F49"/>
    <w:rsid w:val="3B94613B"/>
    <w:rsid w:val="3BA20B37"/>
    <w:rsid w:val="3BAA571D"/>
    <w:rsid w:val="3BB02BEF"/>
    <w:rsid w:val="3BB63907"/>
    <w:rsid w:val="3BC209E7"/>
    <w:rsid w:val="3BCB0DB4"/>
    <w:rsid w:val="3BD335AE"/>
    <w:rsid w:val="3BD40D58"/>
    <w:rsid w:val="3BDE24E4"/>
    <w:rsid w:val="3BED7924"/>
    <w:rsid w:val="3BF71AF3"/>
    <w:rsid w:val="3C037990"/>
    <w:rsid w:val="3C134620"/>
    <w:rsid w:val="3C137D30"/>
    <w:rsid w:val="3C211CCD"/>
    <w:rsid w:val="3C231241"/>
    <w:rsid w:val="3C333553"/>
    <w:rsid w:val="3C361D2B"/>
    <w:rsid w:val="3C476AC1"/>
    <w:rsid w:val="3C4B60A8"/>
    <w:rsid w:val="3C520B3B"/>
    <w:rsid w:val="3C532FCE"/>
    <w:rsid w:val="3C6772D9"/>
    <w:rsid w:val="3C7E620E"/>
    <w:rsid w:val="3C8344E7"/>
    <w:rsid w:val="3C9B61E7"/>
    <w:rsid w:val="3CA80481"/>
    <w:rsid w:val="3CE77F8E"/>
    <w:rsid w:val="3CF33302"/>
    <w:rsid w:val="3CF96C17"/>
    <w:rsid w:val="3D057AB0"/>
    <w:rsid w:val="3D065D6C"/>
    <w:rsid w:val="3D116714"/>
    <w:rsid w:val="3D160F96"/>
    <w:rsid w:val="3D2B015E"/>
    <w:rsid w:val="3D424474"/>
    <w:rsid w:val="3D47429C"/>
    <w:rsid w:val="3D606754"/>
    <w:rsid w:val="3D654DF3"/>
    <w:rsid w:val="3D664125"/>
    <w:rsid w:val="3D7134C7"/>
    <w:rsid w:val="3D743D01"/>
    <w:rsid w:val="3D760957"/>
    <w:rsid w:val="3D782FE3"/>
    <w:rsid w:val="3D8A50FC"/>
    <w:rsid w:val="3D9F1526"/>
    <w:rsid w:val="3DA51B96"/>
    <w:rsid w:val="3DCC2945"/>
    <w:rsid w:val="3DD61FF8"/>
    <w:rsid w:val="3DE578F7"/>
    <w:rsid w:val="3DED48B3"/>
    <w:rsid w:val="3E0D509B"/>
    <w:rsid w:val="3E1D548F"/>
    <w:rsid w:val="3E1F296A"/>
    <w:rsid w:val="3E2439AB"/>
    <w:rsid w:val="3E265391"/>
    <w:rsid w:val="3E3F3315"/>
    <w:rsid w:val="3E3F3FA8"/>
    <w:rsid w:val="3E4461E2"/>
    <w:rsid w:val="3E44737D"/>
    <w:rsid w:val="3E456214"/>
    <w:rsid w:val="3E4D054D"/>
    <w:rsid w:val="3E5462DD"/>
    <w:rsid w:val="3E55633E"/>
    <w:rsid w:val="3E7F2E62"/>
    <w:rsid w:val="3E907C3E"/>
    <w:rsid w:val="3E91519B"/>
    <w:rsid w:val="3EAF36F4"/>
    <w:rsid w:val="3EB326EA"/>
    <w:rsid w:val="3EB57E95"/>
    <w:rsid w:val="3EB9208D"/>
    <w:rsid w:val="3EBC5A46"/>
    <w:rsid w:val="3ED14074"/>
    <w:rsid w:val="3ED36ABB"/>
    <w:rsid w:val="3EE83529"/>
    <w:rsid w:val="3EEE6E1E"/>
    <w:rsid w:val="3EF12D34"/>
    <w:rsid w:val="3F010182"/>
    <w:rsid w:val="3F18078E"/>
    <w:rsid w:val="3F266B82"/>
    <w:rsid w:val="3F321436"/>
    <w:rsid w:val="3F394B84"/>
    <w:rsid w:val="3F3A2DF0"/>
    <w:rsid w:val="3F4B64B8"/>
    <w:rsid w:val="3F4D66C8"/>
    <w:rsid w:val="3F506833"/>
    <w:rsid w:val="3F51437F"/>
    <w:rsid w:val="3F5E3001"/>
    <w:rsid w:val="3F6E0834"/>
    <w:rsid w:val="3F6F13EB"/>
    <w:rsid w:val="3F727E37"/>
    <w:rsid w:val="3F7D602C"/>
    <w:rsid w:val="3F8033D0"/>
    <w:rsid w:val="3F892F88"/>
    <w:rsid w:val="3F941541"/>
    <w:rsid w:val="3FA46A93"/>
    <w:rsid w:val="3FA9652C"/>
    <w:rsid w:val="3FAB0C18"/>
    <w:rsid w:val="3FAC6431"/>
    <w:rsid w:val="3FB42F6B"/>
    <w:rsid w:val="3FD51352"/>
    <w:rsid w:val="3FD94700"/>
    <w:rsid w:val="3FE953D1"/>
    <w:rsid w:val="40017874"/>
    <w:rsid w:val="40031B33"/>
    <w:rsid w:val="400D0F50"/>
    <w:rsid w:val="402773A2"/>
    <w:rsid w:val="40301EF3"/>
    <w:rsid w:val="40327044"/>
    <w:rsid w:val="40332E8E"/>
    <w:rsid w:val="403653A5"/>
    <w:rsid w:val="40514703"/>
    <w:rsid w:val="40600EE3"/>
    <w:rsid w:val="406F6EE7"/>
    <w:rsid w:val="40A703F2"/>
    <w:rsid w:val="40AA49BE"/>
    <w:rsid w:val="40E9216D"/>
    <w:rsid w:val="40EB48E8"/>
    <w:rsid w:val="40FF7EC1"/>
    <w:rsid w:val="41121602"/>
    <w:rsid w:val="41191457"/>
    <w:rsid w:val="41192812"/>
    <w:rsid w:val="412404B7"/>
    <w:rsid w:val="412A1225"/>
    <w:rsid w:val="41346B70"/>
    <w:rsid w:val="41357357"/>
    <w:rsid w:val="41506DB8"/>
    <w:rsid w:val="41614C13"/>
    <w:rsid w:val="41665DCE"/>
    <w:rsid w:val="41926B04"/>
    <w:rsid w:val="419B450C"/>
    <w:rsid w:val="41AE30F9"/>
    <w:rsid w:val="41BB1B12"/>
    <w:rsid w:val="41C368BE"/>
    <w:rsid w:val="41DD441D"/>
    <w:rsid w:val="41EE7E77"/>
    <w:rsid w:val="41F15CEF"/>
    <w:rsid w:val="42041C04"/>
    <w:rsid w:val="421225CA"/>
    <w:rsid w:val="4221439E"/>
    <w:rsid w:val="42426054"/>
    <w:rsid w:val="424501D4"/>
    <w:rsid w:val="425932F1"/>
    <w:rsid w:val="425D03DD"/>
    <w:rsid w:val="426934F7"/>
    <w:rsid w:val="427E0F74"/>
    <w:rsid w:val="428220A4"/>
    <w:rsid w:val="42937A53"/>
    <w:rsid w:val="42CB4D84"/>
    <w:rsid w:val="42CB73E0"/>
    <w:rsid w:val="42E132AF"/>
    <w:rsid w:val="42F64398"/>
    <w:rsid w:val="431A7AF9"/>
    <w:rsid w:val="43332FA1"/>
    <w:rsid w:val="434014AB"/>
    <w:rsid w:val="43431F02"/>
    <w:rsid w:val="435D05C3"/>
    <w:rsid w:val="4361210C"/>
    <w:rsid w:val="437E6A6E"/>
    <w:rsid w:val="4381741D"/>
    <w:rsid w:val="438F1FD6"/>
    <w:rsid w:val="43A21F1C"/>
    <w:rsid w:val="43A42FDC"/>
    <w:rsid w:val="43BD3560"/>
    <w:rsid w:val="43C37AB2"/>
    <w:rsid w:val="43CC3F32"/>
    <w:rsid w:val="43D124D3"/>
    <w:rsid w:val="43E20674"/>
    <w:rsid w:val="43F164A1"/>
    <w:rsid w:val="44047718"/>
    <w:rsid w:val="4414301E"/>
    <w:rsid w:val="442679FE"/>
    <w:rsid w:val="442C718A"/>
    <w:rsid w:val="44420162"/>
    <w:rsid w:val="4446264D"/>
    <w:rsid w:val="444972AB"/>
    <w:rsid w:val="444C61C8"/>
    <w:rsid w:val="445E3B7F"/>
    <w:rsid w:val="445F7A4A"/>
    <w:rsid w:val="446B64E4"/>
    <w:rsid w:val="446D1852"/>
    <w:rsid w:val="446D3678"/>
    <w:rsid w:val="447118EF"/>
    <w:rsid w:val="44753F75"/>
    <w:rsid w:val="447B5056"/>
    <w:rsid w:val="447E2FDE"/>
    <w:rsid w:val="44803CC3"/>
    <w:rsid w:val="44A16BB4"/>
    <w:rsid w:val="44B920D3"/>
    <w:rsid w:val="44B96D1B"/>
    <w:rsid w:val="44C06F1C"/>
    <w:rsid w:val="44C20D0A"/>
    <w:rsid w:val="44CE2D09"/>
    <w:rsid w:val="44D35B69"/>
    <w:rsid w:val="44D90096"/>
    <w:rsid w:val="44E4320E"/>
    <w:rsid w:val="44FD5016"/>
    <w:rsid w:val="45025805"/>
    <w:rsid w:val="4508077B"/>
    <w:rsid w:val="45190D7C"/>
    <w:rsid w:val="451F302E"/>
    <w:rsid w:val="45280C54"/>
    <w:rsid w:val="453C54D7"/>
    <w:rsid w:val="45495FB8"/>
    <w:rsid w:val="454F010E"/>
    <w:rsid w:val="4562364C"/>
    <w:rsid w:val="457174E4"/>
    <w:rsid w:val="457C0A99"/>
    <w:rsid w:val="4582257D"/>
    <w:rsid w:val="458B4F7D"/>
    <w:rsid w:val="459E4C7B"/>
    <w:rsid w:val="45CC4154"/>
    <w:rsid w:val="45D255F9"/>
    <w:rsid w:val="45D26D6B"/>
    <w:rsid w:val="45DD64DE"/>
    <w:rsid w:val="45E67EF4"/>
    <w:rsid w:val="45EE10DC"/>
    <w:rsid w:val="45F00A1D"/>
    <w:rsid w:val="46224D92"/>
    <w:rsid w:val="46276186"/>
    <w:rsid w:val="46491346"/>
    <w:rsid w:val="464B589C"/>
    <w:rsid w:val="464D5457"/>
    <w:rsid w:val="46551C7D"/>
    <w:rsid w:val="466F69EC"/>
    <w:rsid w:val="46783821"/>
    <w:rsid w:val="468229D2"/>
    <w:rsid w:val="468A1F04"/>
    <w:rsid w:val="469C4CED"/>
    <w:rsid w:val="469D5F84"/>
    <w:rsid w:val="46A448C6"/>
    <w:rsid w:val="46B972D0"/>
    <w:rsid w:val="46D804A5"/>
    <w:rsid w:val="46D87CF7"/>
    <w:rsid w:val="46E9122C"/>
    <w:rsid w:val="46EE7040"/>
    <w:rsid w:val="46F12A47"/>
    <w:rsid w:val="47017AE9"/>
    <w:rsid w:val="4729205F"/>
    <w:rsid w:val="472954D9"/>
    <w:rsid w:val="47333E5C"/>
    <w:rsid w:val="47383019"/>
    <w:rsid w:val="474C0ECC"/>
    <w:rsid w:val="474D3703"/>
    <w:rsid w:val="4752377C"/>
    <w:rsid w:val="47535450"/>
    <w:rsid w:val="475D6419"/>
    <w:rsid w:val="47615B35"/>
    <w:rsid w:val="476B03E6"/>
    <w:rsid w:val="477075C4"/>
    <w:rsid w:val="4781467B"/>
    <w:rsid w:val="4788284A"/>
    <w:rsid w:val="479165C8"/>
    <w:rsid w:val="47935764"/>
    <w:rsid w:val="4794128C"/>
    <w:rsid w:val="47A91D58"/>
    <w:rsid w:val="47B025C2"/>
    <w:rsid w:val="47E01115"/>
    <w:rsid w:val="47F732D9"/>
    <w:rsid w:val="47FA2282"/>
    <w:rsid w:val="48043407"/>
    <w:rsid w:val="481F0C40"/>
    <w:rsid w:val="482637B1"/>
    <w:rsid w:val="4828787C"/>
    <w:rsid w:val="48305EB3"/>
    <w:rsid w:val="483430B9"/>
    <w:rsid w:val="48413196"/>
    <w:rsid w:val="485A05EE"/>
    <w:rsid w:val="485F4BF3"/>
    <w:rsid w:val="486A53CC"/>
    <w:rsid w:val="486D19E0"/>
    <w:rsid w:val="48814179"/>
    <w:rsid w:val="48846C5C"/>
    <w:rsid w:val="488827D9"/>
    <w:rsid w:val="489505E8"/>
    <w:rsid w:val="48967BC8"/>
    <w:rsid w:val="48A07854"/>
    <w:rsid w:val="48AC2A4F"/>
    <w:rsid w:val="48BD1058"/>
    <w:rsid w:val="48F24512"/>
    <w:rsid w:val="48F2664C"/>
    <w:rsid w:val="48FC1F37"/>
    <w:rsid w:val="49032EDA"/>
    <w:rsid w:val="490A65A7"/>
    <w:rsid w:val="490B5F77"/>
    <w:rsid w:val="49197526"/>
    <w:rsid w:val="491C4594"/>
    <w:rsid w:val="492163F4"/>
    <w:rsid w:val="49267F60"/>
    <w:rsid w:val="493230DC"/>
    <w:rsid w:val="493A553A"/>
    <w:rsid w:val="4941116B"/>
    <w:rsid w:val="49464D82"/>
    <w:rsid w:val="494C72E4"/>
    <w:rsid w:val="494F5F9E"/>
    <w:rsid w:val="4955388D"/>
    <w:rsid w:val="49576CEF"/>
    <w:rsid w:val="495A5426"/>
    <w:rsid w:val="49696211"/>
    <w:rsid w:val="49826960"/>
    <w:rsid w:val="4987735D"/>
    <w:rsid w:val="498B56E2"/>
    <w:rsid w:val="49942F39"/>
    <w:rsid w:val="499D5142"/>
    <w:rsid w:val="499E2E84"/>
    <w:rsid w:val="49A514DD"/>
    <w:rsid w:val="49A667D4"/>
    <w:rsid w:val="49BC5BAE"/>
    <w:rsid w:val="49BF6D9A"/>
    <w:rsid w:val="49C572BF"/>
    <w:rsid w:val="49D1202D"/>
    <w:rsid w:val="49D90A10"/>
    <w:rsid w:val="4A0E47AF"/>
    <w:rsid w:val="4A12384F"/>
    <w:rsid w:val="4A2B1F2D"/>
    <w:rsid w:val="4A32645D"/>
    <w:rsid w:val="4A330658"/>
    <w:rsid w:val="4A4978CF"/>
    <w:rsid w:val="4A4D7FE1"/>
    <w:rsid w:val="4A565097"/>
    <w:rsid w:val="4A5D749A"/>
    <w:rsid w:val="4A860E7A"/>
    <w:rsid w:val="4A871AF6"/>
    <w:rsid w:val="4A9233C2"/>
    <w:rsid w:val="4A9423B0"/>
    <w:rsid w:val="4A9512C0"/>
    <w:rsid w:val="4AAF66C5"/>
    <w:rsid w:val="4ACC3E8A"/>
    <w:rsid w:val="4ACE5682"/>
    <w:rsid w:val="4AD41C9F"/>
    <w:rsid w:val="4ADD79FE"/>
    <w:rsid w:val="4ADF084C"/>
    <w:rsid w:val="4AE07BEF"/>
    <w:rsid w:val="4AE24406"/>
    <w:rsid w:val="4B103BD9"/>
    <w:rsid w:val="4B165FF6"/>
    <w:rsid w:val="4B210928"/>
    <w:rsid w:val="4B2B58ED"/>
    <w:rsid w:val="4B3A54F3"/>
    <w:rsid w:val="4B50297E"/>
    <w:rsid w:val="4B65781F"/>
    <w:rsid w:val="4B7568F6"/>
    <w:rsid w:val="4B791B87"/>
    <w:rsid w:val="4B84353E"/>
    <w:rsid w:val="4B982BB6"/>
    <w:rsid w:val="4B9A05BD"/>
    <w:rsid w:val="4B9B7A78"/>
    <w:rsid w:val="4B9D4203"/>
    <w:rsid w:val="4BAE369C"/>
    <w:rsid w:val="4BB3598C"/>
    <w:rsid w:val="4BC973E5"/>
    <w:rsid w:val="4BE256A4"/>
    <w:rsid w:val="4BEB0E87"/>
    <w:rsid w:val="4BF03B26"/>
    <w:rsid w:val="4C067007"/>
    <w:rsid w:val="4C240290"/>
    <w:rsid w:val="4C2B0C07"/>
    <w:rsid w:val="4C320631"/>
    <w:rsid w:val="4C407BA8"/>
    <w:rsid w:val="4C41449F"/>
    <w:rsid w:val="4C430588"/>
    <w:rsid w:val="4C653EBD"/>
    <w:rsid w:val="4C6E0867"/>
    <w:rsid w:val="4C726B3C"/>
    <w:rsid w:val="4C783FDA"/>
    <w:rsid w:val="4C7B1857"/>
    <w:rsid w:val="4C955487"/>
    <w:rsid w:val="4CB6367B"/>
    <w:rsid w:val="4CE17C45"/>
    <w:rsid w:val="4CE7280D"/>
    <w:rsid w:val="4CF97835"/>
    <w:rsid w:val="4D1D42AE"/>
    <w:rsid w:val="4D231B63"/>
    <w:rsid w:val="4D28785C"/>
    <w:rsid w:val="4D297920"/>
    <w:rsid w:val="4D322EAA"/>
    <w:rsid w:val="4D3420FB"/>
    <w:rsid w:val="4D4C5801"/>
    <w:rsid w:val="4D583C0E"/>
    <w:rsid w:val="4D5908C4"/>
    <w:rsid w:val="4D654AF9"/>
    <w:rsid w:val="4D6B251D"/>
    <w:rsid w:val="4D841B5D"/>
    <w:rsid w:val="4D985DF9"/>
    <w:rsid w:val="4DAF7130"/>
    <w:rsid w:val="4DB82BBD"/>
    <w:rsid w:val="4DC26B7D"/>
    <w:rsid w:val="4DC96D58"/>
    <w:rsid w:val="4DCE33E0"/>
    <w:rsid w:val="4DF03191"/>
    <w:rsid w:val="4DF8661E"/>
    <w:rsid w:val="4E1047DE"/>
    <w:rsid w:val="4E1E6D2D"/>
    <w:rsid w:val="4E200EBD"/>
    <w:rsid w:val="4E2C5AD0"/>
    <w:rsid w:val="4E2E6E00"/>
    <w:rsid w:val="4E422C85"/>
    <w:rsid w:val="4E4D0DDF"/>
    <w:rsid w:val="4E4E108B"/>
    <w:rsid w:val="4E5B5EF0"/>
    <w:rsid w:val="4E6726F6"/>
    <w:rsid w:val="4E764263"/>
    <w:rsid w:val="4E7A0021"/>
    <w:rsid w:val="4E7F079D"/>
    <w:rsid w:val="4E830635"/>
    <w:rsid w:val="4E875FBC"/>
    <w:rsid w:val="4EAC4F8F"/>
    <w:rsid w:val="4EB92CAD"/>
    <w:rsid w:val="4ED5000A"/>
    <w:rsid w:val="4ED6322F"/>
    <w:rsid w:val="4EEF60F5"/>
    <w:rsid w:val="4F006483"/>
    <w:rsid w:val="4F056409"/>
    <w:rsid w:val="4F1453FB"/>
    <w:rsid w:val="4F1A6FF6"/>
    <w:rsid w:val="4F1B7E82"/>
    <w:rsid w:val="4F2671A3"/>
    <w:rsid w:val="4F2E2780"/>
    <w:rsid w:val="4F3B445A"/>
    <w:rsid w:val="4F3F37FB"/>
    <w:rsid w:val="4F424029"/>
    <w:rsid w:val="4F562998"/>
    <w:rsid w:val="4F5E180D"/>
    <w:rsid w:val="4F6B50F3"/>
    <w:rsid w:val="4F713BFF"/>
    <w:rsid w:val="4F832E53"/>
    <w:rsid w:val="4F895ADB"/>
    <w:rsid w:val="4F9355EA"/>
    <w:rsid w:val="4FAD40E2"/>
    <w:rsid w:val="4FCB0D0E"/>
    <w:rsid w:val="4FD54102"/>
    <w:rsid w:val="4FDA346A"/>
    <w:rsid w:val="500C0076"/>
    <w:rsid w:val="502A6A00"/>
    <w:rsid w:val="502C14DC"/>
    <w:rsid w:val="503104B7"/>
    <w:rsid w:val="50385A07"/>
    <w:rsid w:val="503C2CD4"/>
    <w:rsid w:val="504C044D"/>
    <w:rsid w:val="504C25AA"/>
    <w:rsid w:val="505746FE"/>
    <w:rsid w:val="505A02B2"/>
    <w:rsid w:val="507C33F6"/>
    <w:rsid w:val="50825D7A"/>
    <w:rsid w:val="508A4825"/>
    <w:rsid w:val="50924DC7"/>
    <w:rsid w:val="509561BA"/>
    <w:rsid w:val="50A03FA8"/>
    <w:rsid w:val="50A63DE0"/>
    <w:rsid w:val="50D46EAD"/>
    <w:rsid w:val="50D63441"/>
    <w:rsid w:val="50DD137D"/>
    <w:rsid w:val="50E23CB7"/>
    <w:rsid w:val="50EC2BFE"/>
    <w:rsid w:val="50F3108B"/>
    <w:rsid w:val="51066BBD"/>
    <w:rsid w:val="51245E19"/>
    <w:rsid w:val="51247165"/>
    <w:rsid w:val="512803E1"/>
    <w:rsid w:val="512A14AA"/>
    <w:rsid w:val="5146420B"/>
    <w:rsid w:val="514E5B68"/>
    <w:rsid w:val="515249DD"/>
    <w:rsid w:val="51525CD1"/>
    <w:rsid w:val="515A7522"/>
    <w:rsid w:val="51894729"/>
    <w:rsid w:val="51990003"/>
    <w:rsid w:val="51990B07"/>
    <w:rsid w:val="51B43C37"/>
    <w:rsid w:val="51B95318"/>
    <w:rsid w:val="51BC57D5"/>
    <w:rsid w:val="51DF4AAD"/>
    <w:rsid w:val="51F17781"/>
    <w:rsid w:val="520244C6"/>
    <w:rsid w:val="5216732D"/>
    <w:rsid w:val="52357104"/>
    <w:rsid w:val="52374BB3"/>
    <w:rsid w:val="5258625B"/>
    <w:rsid w:val="525B02C2"/>
    <w:rsid w:val="52647511"/>
    <w:rsid w:val="526C1D6E"/>
    <w:rsid w:val="52A9655A"/>
    <w:rsid w:val="52BE3E8E"/>
    <w:rsid w:val="52D43568"/>
    <w:rsid w:val="52E35BE0"/>
    <w:rsid w:val="52E44B02"/>
    <w:rsid w:val="53024EA0"/>
    <w:rsid w:val="53123BFF"/>
    <w:rsid w:val="532216B3"/>
    <w:rsid w:val="533E6712"/>
    <w:rsid w:val="534E22E8"/>
    <w:rsid w:val="534F1432"/>
    <w:rsid w:val="5351190A"/>
    <w:rsid w:val="535A66A3"/>
    <w:rsid w:val="536A54D5"/>
    <w:rsid w:val="536C4A20"/>
    <w:rsid w:val="53916476"/>
    <w:rsid w:val="539A101D"/>
    <w:rsid w:val="539D422B"/>
    <w:rsid w:val="53A312CB"/>
    <w:rsid w:val="53A95577"/>
    <w:rsid w:val="53B90C2F"/>
    <w:rsid w:val="53BA4DF6"/>
    <w:rsid w:val="53C73A9E"/>
    <w:rsid w:val="53EC357B"/>
    <w:rsid w:val="53EE19EE"/>
    <w:rsid w:val="53FB491B"/>
    <w:rsid w:val="540366FC"/>
    <w:rsid w:val="5408143F"/>
    <w:rsid w:val="542F4BB5"/>
    <w:rsid w:val="543210F9"/>
    <w:rsid w:val="54375DC5"/>
    <w:rsid w:val="543A520E"/>
    <w:rsid w:val="543D1404"/>
    <w:rsid w:val="54652B0E"/>
    <w:rsid w:val="54793966"/>
    <w:rsid w:val="547D41A9"/>
    <w:rsid w:val="54860BBF"/>
    <w:rsid w:val="548A0F44"/>
    <w:rsid w:val="548F6397"/>
    <w:rsid w:val="549D0CA2"/>
    <w:rsid w:val="54BC3DA0"/>
    <w:rsid w:val="54BE549E"/>
    <w:rsid w:val="54C453A2"/>
    <w:rsid w:val="54D772B5"/>
    <w:rsid w:val="54E02FB0"/>
    <w:rsid w:val="54EB5CDA"/>
    <w:rsid w:val="54EF5E49"/>
    <w:rsid w:val="55036178"/>
    <w:rsid w:val="55066A40"/>
    <w:rsid w:val="550876E8"/>
    <w:rsid w:val="55164051"/>
    <w:rsid w:val="55177035"/>
    <w:rsid w:val="551E4CF9"/>
    <w:rsid w:val="55286D94"/>
    <w:rsid w:val="552924B9"/>
    <w:rsid w:val="55317274"/>
    <w:rsid w:val="55450CB1"/>
    <w:rsid w:val="55694CDF"/>
    <w:rsid w:val="556C36C4"/>
    <w:rsid w:val="556C38F9"/>
    <w:rsid w:val="55772F44"/>
    <w:rsid w:val="557A0C3B"/>
    <w:rsid w:val="557C2A0F"/>
    <w:rsid w:val="558D40DE"/>
    <w:rsid w:val="55AA0460"/>
    <w:rsid w:val="55C57051"/>
    <w:rsid w:val="55DA4752"/>
    <w:rsid w:val="55E949C4"/>
    <w:rsid w:val="55FC61D2"/>
    <w:rsid w:val="561B1809"/>
    <w:rsid w:val="561D64C5"/>
    <w:rsid w:val="562D1FE4"/>
    <w:rsid w:val="564E5D31"/>
    <w:rsid w:val="565F7D84"/>
    <w:rsid w:val="56657396"/>
    <w:rsid w:val="56731E25"/>
    <w:rsid w:val="567C5F31"/>
    <w:rsid w:val="568A07B9"/>
    <w:rsid w:val="568D6DF2"/>
    <w:rsid w:val="569357EC"/>
    <w:rsid w:val="56AC30DA"/>
    <w:rsid w:val="56B4366E"/>
    <w:rsid w:val="56B44326"/>
    <w:rsid w:val="56B927F5"/>
    <w:rsid w:val="56EF63F5"/>
    <w:rsid w:val="56F3703E"/>
    <w:rsid w:val="56FD21C7"/>
    <w:rsid w:val="56FE20D7"/>
    <w:rsid w:val="57137663"/>
    <w:rsid w:val="571D5FFA"/>
    <w:rsid w:val="572A2213"/>
    <w:rsid w:val="57303491"/>
    <w:rsid w:val="57406092"/>
    <w:rsid w:val="575A08D7"/>
    <w:rsid w:val="575A50C0"/>
    <w:rsid w:val="576C40F0"/>
    <w:rsid w:val="57745F62"/>
    <w:rsid w:val="57784E00"/>
    <w:rsid w:val="57794939"/>
    <w:rsid w:val="578150F0"/>
    <w:rsid w:val="57966A3C"/>
    <w:rsid w:val="579821C6"/>
    <w:rsid w:val="579A0217"/>
    <w:rsid w:val="57AE0794"/>
    <w:rsid w:val="57BC6635"/>
    <w:rsid w:val="57C14986"/>
    <w:rsid w:val="57C15E18"/>
    <w:rsid w:val="57CB4CBD"/>
    <w:rsid w:val="57E02F8E"/>
    <w:rsid w:val="57F4610D"/>
    <w:rsid w:val="580123D6"/>
    <w:rsid w:val="581D439B"/>
    <w:rsid w:val="58213A0F"/>
    <w:rsid w:val="5825208C"/>
    <w:rsid w:val="58376380"/>
    <w:rsid w:val="583B6A7F"/>
    <w:rsid w:val="585A5B20"/>
    <w:rsid w:val="58713B26"/>
    <w:rsid w:val="587D0F23"/>
    <w:rsid w:val="58880F30"/>
    <w:rsid w:val="588C46F5"/>
    <w:rsid w:val="58946290"/>
    <w:rsid w:val="58953D1B"/>
    <w:rsid w:val="58BE3992"/>
    <w:rsid w:val="58DC2251"/>
    <w:rsid w:val="58E44284"/>
    <w:rsid w:val="59217036"/>
    <w:rsid w:val="59454659"/>
    <w:rsid w:val="59511013"/>
    <w:rsid w:val="596922B3"/>
    <w:rsid w:val="59764E2D"/>
    <w:rsid w:val="59954064"/>
    <w:rsid w:val="59975738"/>
    <w:rsid w:val="59993C3C"/>
    <w:rsid w:val="599B0426"/>
    <w:rsid w:val="59A31265"/>
    <w:rsid w:val="59A66809"/>
    <w:rsid w:val="59B31055"/>
    <w:rsid w:val="59C73F7F"/>
    <w:rsid w:val="59CE005A"/>
    <w:rsid w:val="59DA65AD"/>
    <w:rsid w:val="59E961E5"/>
    <w:rsid w:val="59F81A67"/>
    <w:rsid w:val="59FA790D"/>
    <w:rsid w:val="59FB4B94"/>
    <w:rsid w:val="5A0049D0"/>
    <w:rsid w:val="5A09766B"/>
    <w:rsid w:val="5A0C5AD3"/>
    <w:rsid w:val="5A117F85"/>
    <w:rsid w:val="5A1E4633"/>
    <w:rsid w:val="5A3C07C8"/>
    <w:rsid w:val="5A3E6A4F"/>
    <w:rsid w:val="5A5310FD"/>
    <w:rsid w:val="5A684CF5"/>
    <w:rsid w:val="5A69149B"/>
    <w:rsid w:val="5A6E7BD9"/>
    <w:rsid w:val="5A7D15E7"/>
    <w:rsid w:val="5AA151C3"/>
    <w:rsid w:val="5ABD56AE"/>
    <w:rsid w:val="5AC84262"/>
    <w:rsid w:val="5AD51693"/>
    <w:rsid w:val="5AD84E70"/>
    <w:rsid w:val="5ADD6923"/>
    <w:rsid w:val="5AF52DF3"/>
    <w:rsid w:val="5AF92649"/>
    <w:rsid w:val="5B13060E"/>
    <w:rsid w:val="5B1E391D"/>
    <w:rsid w:val="5B246F57"/>
    <w:rsid w:val="5B24730D"/>
    <w:rsid w:val="5B2A6800"/>
    <w:rsid w:val="5B3A3460"/>
    <w:rsid w:val="5B6F0E97"/>
    <w:rsid w:val="5B76005C"/>
    <w:rsid w:val="5B7F4F40"/>
    <w:rsid w:val="5B8C2715"/>
    <w:rsid w:val="5B952DED"/>
    <w:rsid w:val="5BA513A3"/>
    <w:rsid w:val="5BCA390D"/>
    <w:rsid w:val="5BD35F6E"/>
    <w:rsid w:val="5BF24D5F"/>
    <w:rsid w:val="5BFD7C70"/>
    <w:rsid w:val="5C1C5B14"/>
    <w:rsid w:val="5C2028FC"/>
    <w:rsid w:val="5C3141C4"/>
    <w:rsid w:val="5C47076F"/>
    <w:rsid w:val="5C5C20F4"/>
    <w:rsid w:val="5C5C671F"/>
    <w:rsid w:val="5C6C625C"/>
    <w:rsid w:val="5C72654B"/>
    <w:rsid w:val="5C8A4281"/>
    <w:rsid w:val="5C965DCE"/>
    <w:rsid w:val="5CA51531"/>
    <w:rsid w:val="5CA62510"/>
    <w:rsid w:val="5CB0726C"/>
    <w:rsid w:val="5CB7424C"/>
    <w:rsid w:val="5CCF4C09"/>
    <w:rsid w:val="5CD017F4"/>
    <w:rsid w:val="5CF37029"/>
    <w:rsid w:val="5D160A91"/>
    <w:rsid w:val="5D2C5254"/>
    <w:rsid w:val="5D315026"/>
    <w:rsid w:val="5D3B7640"/>
    <w:rsid w:val="5D4344EF"/>
    <w:rsid w:val="5D482FAE"/>
    <w:rsid w:val="5D4A663B"/>
    <w:rsid w:val="5D4A77B3"/>
    <w:rsid w:val="5D56404E"/>
    <w:rsid w:val="5D622793"/>
    <w:rsid w:val="5D747559"/>
    <w:rsid w:val="5D8E3EC7"/>
    <w:rsid w:val="5D8E63BD"/>
    <w:rsid w:val="5D8F4EB4"/>
    <w:rsid w:val="5DA30205"/>
    <w:rsid w:val="5DCC2420"/>
    <w:rsid w:val="5DCD4513"/>
    <w:rsid w:val="5DD15109"/>
    <w:rsid w:val="5DF92AD2"/>
    <w:rsid w:val="5E022066"/>
    <w:rsid w:val="5E1A559E"/>
    <w:rsid w:val="5E334083"/>
    <w:rsid w:val="5E685F76"/>
    <w:rsid w:val="5E702EF7"/>
    <w:rsid w:val="5E706F56"/>
    <w:rsid w:val="5E832F43"/>
    <w:rsid w:val="5E882707"/>
    <w:rsid w:val="5E9D5264"/>
    <w:rsid w:val="5EA6044B"/>
    <w:rsid w:val="5EAD6487"/>
    <w:rsid w:val="5EBA2DFE"/>
    <w:rsid w:val="5EBE391C"/>
    <w:rsid w:val="5EC30BA9"/>
    <w:rsid w:val="5ECC5E7A"/>
    <w:rsid w:val="5EF46089"/>
    <w:rsid w:val="5EFA263C"/>
    <w:rsid w:val="5EFF70B0"/>
    <w:rsid w:val="5F0C6ACC"/>
    <w:rsid w:val="5F141F73"/>
    <w:rsid w:val="5F197948"/>
    <w:rsid w:val="5F217120"/>
    <w:rsid w:val="5F2B0316"/>
    <w:rsid w:val="5F371302"/>
    <w:rsid w:val="5F3D09ED"/>
    <w:rsid w:val="5F3F646A"/>
    <w:rsid w:val="5F4828C2"/>
    <w:rsid w:val="5F491499"/>
    <w:rsid w:val="5F4C1E6C"/>
    <w:rsid w:val="5F5F5C26"/>
    <w:rsid w:val="5F61731E"/>
    <w:rsid w:val="5F641DF7"/>
    <w:rsid w:val="5F7825C5"/>
    <w:rsid w:val="5F9D12E3"/>
    <w:rsid w:val="5FA225B2"/>
    <w:rsid w:val="5FAF35B2"/>
    <w:rsid w:val="5FB42712"/>
    <w:rsid w:val="5FBB4E41"/>
    <w:rsid w:val="5FC61730"/>
    <w:rsid w:val="5FE94093"/>
    <w:rsid w:val="5FFE1355"/>
    <w:rsid w:val="60067AD7"/>
    <w:rsid w:val="601148C2"/>
    <w:rsid w:val="601701E3"/>
    <w:rsid w:val="602C5B1A"/>
    <w:rsid w:val="603944BD"/>
    <w:rsid w:val="603F4680"/>
    <w:rsid w:val="604D251E"/>
    <w:rsid w:val="604E5876"/>
    <w:rsid w:val="60527C0A"/>
    <w:rsid w:val="60570F40"/>
    <w:rsid w:val="605E1653"/>
    <w:rsid w:val="60623C8F"/>
    <w:rsid w:val="60664F29"/>
    <w:rsid w:val="606C0C3E"/>
    <w:rsid w:val="60896A43"/>
    <w:rsid w:val="60974418"/>
    <w:rsid w:val="609C0DA8"/>
    <w:rsid w:val="609C7AB8"/>
    <w:rsid w:val="60A1650C"/>
    <w:rsid w:val="60A33CEE"/>
    <w:rsid w:val="60A73510"/>
    <w:rsid w:val="60D729AC"/>
    <w:rsid w:val="60DD669B"/>
    <w:rsid w:val="60E201A8"/>
    <w:rsid w:val="610B00DF"/>
    <w:rsid w:val="611523F9"/>
    <w:rsid w:val="611F2F8F"/>
    <w:rsid w:val="612A5694"/>
    <w:rsid w:val="612E4CA4"/>
    <w:rsid w:val="61382F79"/>
    <w:rsid w:val="61554BEB"/>
    <w:rsid w:val="61622AA6"/>
    <w:rsid w:val="61873061"/>
    <w:rsid w:val="618839DF"/>
    <w:rsid w:val="619922FD"/>
    <w:rsid w:val="6199759D"/>
    <w:rsid w:val="61A021BD"/>
    <w:rsid w:val="61A545E4"/>
    <w:rsid w:val="61B14637"/>
    <w:rsid w:val="61BF5DD7"/>
    <w:rsid w:val="61C37912"/>
    <w:rsid w:val="61DE2075"/>
    <w:rsid w:val="61DE267E"/>
    <w:rsid w:val="62006FC3"/>
    <w:rsid w:val="621246F2"/>
    <w:rsid w:val="62226056"/>
    <w:rsid w:val="623861A1"/>
    <w:rsid w:val="624003AA"/>
    <w:rsid w:val="62401A5E"/>
    <w:rsid w:val="62433672"/>
    <w:rsid w:val="6245793E"/>
    <w:rsid w:val="624D7A82"/>
    <w:rsid w:val="62616496"/>
    <w:rsid w:val="62664BF8"/>
    <w:rsid w:val="627F24D5"/>
    <w:rsid w:val="6282496F"/>
    <w:rsid w:val="62945454"/>
    <w:rsid w:val="6299014A"/>
    <w:rsid w:val="62B35F0E"/>
    <w:rsid w:val="62B40834"/>
    <w:rsid w:val="62B76623"/>
    <w:rsid w:val="62BD4359"/>
    <w:rsid w:val="62DE67A3"/>
    <w:rsid w:val="62E427F7"/>
    <w:rsid w:val="62EE3A15"/>
    <w:rsid w:val="62F01A97"/>
    <w:rsid w:val="62F03348"/>
    <w:rsid w:val="62FA0FB0"/>
    <w:rsid w:val="6300150E"/>
    <w:rsid w:val="63100E0F"/>
    <w:rsid w:val="63237385"/>
    <w:rsid w:val="632718EE"/>
    <w:rsid w:val="633E2D7F"/>
    <w:rsid w:val="6348225D"/>
    <w:rsid w:val="63574CA2"/>
    <w:rsid w:val="636365DD"/>
    <w:rsid w:val="636B4A0D"/>
    <w:rsid w:val="636B7780"/>
    <w:rsid w:val="637551EE"/>
    <w:rsid w:val="638219C2"/>
    <w:rsid w:val="638D1C4F"/>
    <w:rsid w:val="63A81AB3"/>
    <w:rsid w:val="63AC6806"/>
    <w:rsid w:val="63AF489A"/>
    <w:rsid w:val="63B62ED9"/>
    <w:rsid w:val="63BC686A"/>
    <w:rsid w:val="63C62EFD"/>
    <w:rsid w:val="63CE51CD"/>
    <w:rsid w:val="63D24DFF"/>
    <w:rsid w:val="63F30532"/>
    <w:rsid w:val="63F60125"/>
    <w:rsid w:val="64001FC4"/>
    <w:rsid w:val="64014FA7"/>
    <w:rsid w:val="64022742"/>
    <w:rsid w:val="64034AAB"/>
    <w:rsid w:val="640A1C7A"/>
    <w:rsid w:val="640C1308"/>
    <w:rsid w:val="640F6C60"/>
    <w:rsid w:val="643E6DB6"/>
    <w:rsid w:val="644D5026"/>
    <w:rsid w:val="646A4F60"/>
    <w:rsid w:val="646D752C"/>
    <w:rsid w:val="6470396C"/>
    <w:rsid w:val="647B124E"/>
    <w:rsid w:val="647D6AD7"/>
    <w:rsid w:val="648642B8"/>
    <w:rsid w:val="64917021"/>
    <w:rsid w:val="649C7D40"/>
    <w:rsid w:val="64A41487"/>
    <w:rsid w:val="64A45B47"/>
    <w:rsid w:val="64AA4168"/>
    <w:rsid w:val="64BA54D1"/>
    <w:rsid w:val="64E73510"/>
    <w:rsid w:val="64EF01B6"/>
    <w:rsid w:val="64F022EA"/>
    <w:rsid w:val="64F53AB8"/>
    <w:rsid w:val="65047238"/>
    <w:rsid w:val="6508061D"/>
    <w:rsid w:val="65242817"/>
    <w:rsid w:val="652E2A1A"/>
    <w:rsid w:val="654B61A9"/>
    <w:rsid w:val="655739F8"/>
    <w:rsid w:val="656D6802"/>
    <w:rsid w:val="6575340B"/>
    <w:rsid w:val="657E1A71"/>
    <w:rsid w:val="657F51FA"/>
    <w:rsid w:val="659136A3"/>
    <w:rsid w:val="65A405DF"/>
    <w:rsid w:val="65AB7836"/>
    <w:rsid w:val="65B3328C"/>
    <w:rsid w:val="65D16152"/>
    <w:rsid w:val="65DB6140"/>
    <w:rsid w:val="66102846"/>
    <w:rsid w:val="66152C16"/>
    <w:rsid w:val="662417E9"/>
    <w:rsid w:val="66293D66"/>
    <w:rsid w:val="662D0EF3"/>
    <w:rsid w:val="662D16F6"/>
    <w:rsid w:val="66450F84"/>
    <w:rsid w:val="66452DC7"/>
    <w:rsid w:val="664E0694"/>
    <w:rsid w:val="665A44D4"/>
    <w:rsid w:val="666629D8"/>
    <w:rsid w:val="66831A06"/>
    <w:rsid w:val="668E5758"/>
    <w:rsid w:val="66953933"/>
    <w:rsid w:val="669D1204"/>
    <w:rsid w:val="66AB6CD1"/>
    <w:rsid w:val="66D03C9A"/>
    <w:rsid w:val="66E141C7"/>
    <w:rsid w:val="66EA17A7"/>
    <w:rsid w:val="66F17815"/>
    <w:rsid w:val="66F82436"/>
    <w:rsid w:val="6711386D"/>
    <w:rsid w:val="671562AE"/>
    <w:rsid w:val="67175083"/>
    <w:rsid w:val="67185E2E"/>
    <w:rsid w:val="671C7C6A"/>
    <w:rsid w:val="673628BF"/>
    <w:rsid w:val="67383FB1"/>
    <w:rsid w:val="673B1F82"/>
    <w:rsid w:val="673C3AF4"/>
    <w:rsid w:val="674213CE"/>
    <w:rsid w:val="67491178"/>
    <w:rsid w:val="677554E2"/>
    <w:rsid w:val="6785445B"/>
    <w:rsid w:val="678674C8"/>
    <w:rsid w:val="678C6138"/>
    <w:rsid w:val="679F6880"/>
    <w:rsid w:val="67A1199B"/>
    <w:rsid w:val="67B74AB6"/>
    <w:rsid w:val="67C544EF"/>
    <w:rsid w:val="67CB05FC"/>
    <w:rsid w:val="67E84791"/>
    <w:rsid w:val="67F95068"/>
    <w:rsid w:val="67FB56BA"/>
    <w:rsid w:val="683C6AE5"/>
    <w:rsid w:val="68417DEC"/>
    <w:rsid w:val="684436E4"/>
    <w:rsid w:val="68450836"/>
    <w:rsid w:val="68480E7D"/>
    <w:rsid w:val="684977E6"/>
    <w:rsid w:val="686136CE"/>
    <w:rsid w:val="686A3E2E"/>
    <w:rsid w:val="686D4300"/>
    <w:rsid w:val="687B019A"/>
    <w:rsid w:val="68952004"/>
    <w:rsid w:val="68A25860"/>
    <w:rsid w:val="68A9093A"/>
    <w:rsid w:val="68B22552"/>
    <w:rsid w:val="68B64BCA"/>
    <w:rsid w:val="68B719E2"/>
    <w:rsid w:val="68C01835"/>
    <w:rsid w:val="68C33876"/>
    <w:rsid w:val="68D02FD6"/>
    <w:rsid w:val="68D82F90"/>
    <w:rsid w:val="68DD4D46"/>
    <w:rsid w:val="68F17570"/>
    <w:rsid w:val="68FC0838"/>
    <w:rsid w:val="6919022A"/>
    <w:rsid w:val="69235D72"/>
    <w:rsid w:val="69287B34"/>
    <w:rsid w:val="692E0249"/>
    <w:rsid w:val="69304E57"/>
    <w:rsid w:val="693554CA"/>
    <w:rsid w:val="693E250D"/>
    <w:rsid w:val="69702ADC"/>
    <w:rsid w:val="69760A34"/>
    <w:rsid w:val="69763A57"/>
    <w:rsid w:val="697944A6"/>
    <w:rsid w:val="698754B0"/>
    <w:rsid w:val="6994728B"/>
    <w:rsid w:val="69997FF1"/>
    <w:rsid w:val="699E01EB"/>
    <w:rsid w:val="69A6485F"/>
    <w:rsid w:val="69B0554D"/>
    <w:rsid w:val="69BB27B8"/>
    <w:rsid w:val="69BDFAD6"/>
    <w:rsid w:val="69D22ED5"/>
    <w:rsid w:val="69DE6FC0"/>
    <w:rsid w:val="69E20BA9"/>
    <w:rsid w:val="69E31E71"/>
    <w:rsid w:val="69EE2EF6"/>
    <w:rsid w:val="6A082F4D"/>
    <w:rsid w:val="6A1E1048"/>
    <w:rsid w:val="6A2B5CC1"/>
    <w:rsid w:val="6A2F2928"/>
    <w:rsid w:val="6A3B7813"/>
    <w:rsid w:val="6A587EE0"/>
    <w:rsid w:val="6A615E93"/>
    <w:rsid w:val="6A6539E5"/>
    <w:rsid w:val="6A6947FF"/>
    <w:rsid w:val="6A7C249B"/>
    <w:rsid w:val="6A7D5270"/>
    <w:rsid w:val="6A861B60"/>
    <w:rsid w:val="6A8A1101"/>
    <w:rsid w:val="6AB566D6"/>
    <w:rsid w:val="6AB71AB2"/>
    <w:rsid w:val="6ACA0569"/>
    <w:rsid w:val="6AD16AD3"/>
    <w:rsid w:val="6AE26AF8"/>
    <w:rsid w:val="6AED1D45"/>
    <w:rsid w:val="6AF51278"/>
    <w:rsid w:val="6AF670E9"/>
    <w:rsid w:val="6AF67EF8"/>
    <w:rsid w:val="6AFF0479"/>
    <w:rsid w:val="6B024263"/>
    <w:rsid w:val="6B0810A0"/>
    <w:rsid w:val="6B16442A"/>
    <w:rsid w:val="6B1F2AD9"/>
    <w:rsid w:val="6B257C12"/>
    <w:rsid w:val="6B371B53"/>
    <w:rsid w:val="6B5F6DFF"/>
    <w:rsid w:val="6B6D03AF"/>
    <w:rsid w:val="6B774C44"/>
    <w:rsid w:val="6B7D19D3"/>
    <w:rsid w:val="6B807599"/>
    <w:rsid w:val="6B871A42"/>
    <w:rsid w:val="6B91163D"/>
    <w:rsid w:val="6B942085"/>
    <w:rsid w:val="6BA95563"/>
    <w:rsid w:val="6BB473BA"/>
    <w:rsid w:val="6BD03A94"/>
    <w:rsid w:val="6BD86363"/>
    <w:rsid w:val="6BDF127E"/>
    <w:rsid w:val="6BE17DD6"/>
    <w:rsid w:val="6BEB3E94"/>
    <w:rsid w:val="6BF13D44"/>
    <w:rsid w:val="6BF84572"/>
    <w:rsid w:val="6BFE058E"/>
    <w:rsid w:val="6C024AB3"/>
    <w:rsid w:val="6C027D58"/>
    <w:rsid w:val="6C043D8B"/>
    <w:rsid w:val="6C06049F"/>
    <w:rsid w:val="6C0C1F25"/>
    <w:rsid w:val="6C230266"/>
    <w:rsid w:val="6C2729F5"/>
    <w:rsid w:val="6C3A7956"/>
    <w:rsid w:val="6C3B079F"/>
    <w:rsid w:val="6C3B7116"/>
    <w:rsid w:val="6C48772F"/>
    <w:rsid w:val="6C4D13DA"/>
    <w:rsid w:val="6C5C5B0F"/>
    <w:rsid w:val="6C5F0433"/>
    <w:rsid w:val="6C63737F"/>
    <w:rsid w:val="6C6851B5"/>
    <w:rsid w:val="6C7A7BB1"/>
    <w:rsid w:val="6C7B65EC"/>
    <w:rsid w:val="6C7D18B9"/>
    <w:rsid w:val="6C9C400F"/>
    <w:rsid w:val="6C9E08DA"/>
    <w:rsid w:val="6CB07851"/>
    <w:rsid w:val="6CCC2CB3"/>
    <w:rsid w:val="6CE64113"/>
    <w:rsid w:val="6D046537"/>
    <w:rsid w:val="6D090DC5"/>
    <w:rsid w:val="6D0B6258"/>
    <w:rsid w:val="6D0F3EAA"/>
    <w:rsid w:val="6D131933"/>
    <w:rsid w:val="6D2F38C6"/>
    <w:rsid w:val="6D453B1B"/>
    <w:rsid w:val="6D654128"/>
    <w:rsid w:val="6D6A7A13"/>
    <w:rsid w:val="6D917986"/>
    <w:rsid w:val="6D991486"/>
    <w:rsid w:val="6D9A0202"/>
    <w:rsid w:val="6D9C30B4"/>
    <w:rsid w:val="6D9F14E7"/>
    <w:rsid w:val="6DA46447"/>
    <w:rsid w:val="6DAC262E"/>
    <w:rsid w:val="6DB41A95"/>
    <w:rsid w:val="6DB43A61"/>
    <w:rsid w:val="6DBE6983"/>
    <w:rsid w:val="6DBE6C49"/>
    <w:rsid w:val="6DC70DDA"/>
    <w:rsid w:val="6DCB3E03"/>
    <w:rsid w:val="6DCB752F"/>
    <w:rsid w:val="6DD40A69"/>
    <w:rsid w:val="6DEA2FB0"/>
    <w:rsid w:val="6DF24C43"/>
    <w:rsid w:val="6DFB39D7"/>
    <w:rsid w:val="6E090C75"/>
    <w:rsid w:val="6E134145"/>
    <w:rsid w:val="6E29581E"/>
    <w:rsid w:val="6E32246C"/>
    <w:rsid w:val="6E335493"/>
    <w:rsid w:val="6E4444EF"/>
    <w:rsid w:val="6E5C2E8C"/>
    <w:rsid w:val="6E60673C"/>
    <w:rsid w:val="6E64463C"/>
    <w:rsid w:val="6E6721A2"/>
    <w:rsid w:val="6E823745"/>
    <w:rsid w:val="6E862E43"/>
    <w:rsid w:val="6E86529C"/>
    <w:rsid w:val="6E887822"/>
    <w:rsid w:val="6E8A220B"/>
    <w:rsid w:val="6E995382"/>
    <w:rsid w:val="6E9A3401"/>
    <w:rsid w:val="6E9F4C18"/>
    <w:rsid w:val="6EA57718"/>
    <w:rsid w:val="6EAA61B8"/>
    <w:rsid w:val="6EB057C2"/>
    <w:rsid w:val="6EB135C1"/>
    <w:rsid w:val="6EB23A4F"/>
    <w:rsid w:val="6EC458E1"/>
    <w:rsid w:val="6EC7739A"/>
    <w:rsid w:val="6ECD48F8"/>
    <w:rsid w:val="6ECE607A"/>
    <w:rsid w:val="6ECF591C"/>
    <w:rsid w:val="6ED44B15"/>
    <w:rsid w:val="6EF71108"/>
    <w:rsid w:val="6F0A6F62"/>
    <w:rsid w:val="6F295C7F"/>
    <w:rsid w:val="6F2C11A1"/>
    <w:rsid w:val="6F3823A5"/>
    <w:rsid w:val="6F3A0E5D"/>
    <w:rsid w:val="6F603D86"/>
    <w:rsid w:val="6F757DD8"/>
    <w:rsid w:val="6F846B7E"/>
    <w:rsid w:val="6F876D6D"/>
    <w:rsid w:val="6F8C1447"/>
    <w:rsid w:val="6F8D5809"/>
    <w:rsid w:val="6F8E3F4F"/>
    <w:rsid w:val="6F965476"/>
    <w:rsid w:val="6FA03592"/>
    <w:rsid w:val="6FA33498"/>
    <w:rsid w:val="6FC70B8A"/>
    <w:rsid w:val="6FE96A4F"/>
    <w:rsid w:val="6FEB1BB0"/>
    <w:rsid w:val="6FF21E5B"/>
    <w:rsid w:val="70003E69"/>
    <w:rsid w:val="70017F58"/>
    <w:rsid w:val="700406C3"/>
    <w:rsid w:val="700E3E21"/>
    <w:rsid w:val="70105C5C"/>
    <w:rsid w:val="702874A3"/>
    <w:rsid w:val="70447E3C"/>
    <w:rsid w:val="70510AE7"/>
    <w:rsid w:val="70547308"/>
    <w:rsid w:val="705578EC"/>
    <w:rsid w:val="7062653C"/>
    <w:rsid w:val="70650911"/>
    <w:rsid w:val="706F4816"/>
    <w:rsid w:val="707E4A08"/>
    <w:rsid w:val="708D4DCA"/>
    <w:rsid w:val="70966CAE"/>
    <w:rsid w:val="70975E9D"/>
    <w:rsid w:val="709B6376"/>
    <w:rsid w:val="70A2107F"/>
    <w:rsid w:val="70B30FF9"/>
    <w:rsid w:val="70CE1F89"/>
    <w:rsid w:val="70E33923"/>
    <w:rsid w:val="70FC49B7"/>
    <w:rsid w:val="71034BD4"/>
    <w:rsid w:val="711552F6"/>
    <w:rsid w:val="711B236B"/>
    <w:rsid w:val="71230FBD"/>
    <w:rsid w:val="712C132B"/>
    <w:rsid w:val="71314C6A"/>
    <w:rsid w:val="71366901"/>
    <w:rsid w:val="713B6232"/>
    <w:rsid w:val="713D45ED"/>
    <w:rsid w:val="7143028D"/>
    <w:rsid w:val="71462B72"/>
    <w:rsid w:val="71473ED0"/>
    <w:rsid w:val="71512BEA"/>
    <w:rsid w:val="715F486A"/>
    <w:rsid w:val="71810CB4"/>
    <w:rsid w:val="71950007"/>
    <w:rsid w:val="71A85063"/>
    <w:rsid w:val="71BC1BB4"/>
    <w:rsid w:val="71BF3FFF"/>
    <w:rsid w:val="71C815D5"/>
    <w:rsid w:val="71D7728F"/>
    <w:rsid w:val="71E1325C"/>
    <w:rsid w:val="71E20C87"/>
    <w:rsid w:val="71E332EC"/>
    <w:rsid w:val="71EC788B"/>
    <w:rsid w:val="720034EB"/>
    <w:rsid w:val="721C7021"/>
    <w:rsid w:val="72304CCA"/>
    <w:rsid w:val="72312B07"/>
    <w:rsid w:val="72493CE1"/>
    <w:rsid w:val="724A49C9"/>
    <w:rsid w:val="724A6A97"/>
    <w:rsid w:val="724F7950"/>
    <w:rsid w:val="72653D56"/>
    <w:rsid w:val="72665138"/>
    <w:rsid w:val="726B0B46"/>
    <w:rsid w:val="726C2418"/>
    <w:rsid w:val="728229AD"/>
    <w:rsid w:val="72A6333C"/>
    <w:rsid w:val="72BE6830"/>
    <w:rsid w:val="72C151B4"/>
    <w:rsid w:val="72C465DF"/>
    <w:rsid w:val="72D1628A"/>
    <w:rsid w:val="72DF437B"/>
    <w:rsid w:val="72E836FF"/>
    <w:rsid w:val="72F75D49"/>
    <w:rsid w:val="72FE403F"/>
    <w:rsid w:val="73122E11"/>
    <w:rsid w:val="731A6086"/>
    <w:rsid w:val="73246F1B"/>
    <w:rsid w:val="73295C18"/>
    <w:rsid w:val="733F3331"/>
    <w:rsid w:val="734C1A77"/>
    <w:rsid w:val="735A4036"/>
    <w:rsid w:val="7364325B"/>
    <w:rsid w:val="736E553E"/>
    <w:rsid w:val="738B7437"/>
    <w:rsid w:val="73BE6816"/>
    <w:rsid w:val="73F35155"/>
    <w:rsid w:val="73FD73E7"/>
    <w:rsid w:val="740359EA"/>
    <w:rsid w:val="741365A8"/>
    <w:rsid w:val="742C57AA"/>
    <w:rsid w:val="74427C26"/>
    <w:rsid w:val="74497BE3"/>
    <w:rsid w:val="74586BFF"/>
    <w:rsid w:val="746B2BEC"/>
    <w:rsid w:val="747B0A84"/>
    <w:rsid w:val="748E5955"/>
    <w:rsid w:val="74A1602D"/>
    <w:rsid w:val="74D33AFF"/>
    <w:rsid w:val="74F11B48"/>
    <w:rsid w:val="74F95DDD"/>
    <w:rsid w:val="74FA0026"/>
    <w:rsid w:val="75040EA2"/>
    <w:rsid w:val="751D3A6C"/>
    <w:rsid w:val="75242640"/>
    <w:rsid w:val="753604FF"/>
    <w:rsid w:val="753906BE"/>
    <w:rsid w:val="753F75B6"/>
    <w:rsid w:val="75466FF9"/>
    <w:rsid w:val="75477F1D"/>
    <w:rsid w:val="754C7701"/>
    <w:rsid w:val="75522ABC"/>
    <w:rsid w:val="755B387B"/>
    <w:rsid w:val="75887FB2"/>
    <w:rsid w:val="758D1EE7"/>
    <w:rsid w:val="75970754"/>
    <w:rsid w:val="75A457D6"/>
    <w:rsid w:val="75BF0006"/>
    <w:rsid w:val="75CF4295"/>
    <w:rsid w:val="75D35882"/>
    <w:rsid w:val="75DE0F02"/>
    <w:rsid w:val="76105F14"/>
    <w:rsid w:val="76133452"/>
    <w:rsid w:val="761C7AEB"/>
    <w:rsid w:val="761E5257"/>
    <w:rsid w:val="76290F26"/>
    <w:rsid w:val="762B3386"/>
    <w:rsid w:val="763249B5"/>
    <w:rsid w:val="763B6F79"/>
    <w:rsid w:val="76457CB4"/>
    <w:rsid w:val="764D763D"/>
    <w:rsid w:val="764F5AC4"/>
    <w:rsid w:val="765A7E46"/>
    <w:rsid w:val="766F7B59"/>
    <w:rsid w:val="768A019A"/>
    <w:rsid w:val="768F33AB"/>
    <w:rsid w:val="76A76470"/>
    <w:rsid w:val="76BA084F"/>
    <w:rsid w:val="76DF1E9D"/>
    <w:rsid w:val="770C4813"/>
    <w:rsid w:val="77280BAA"/>
    <w:rsid w:val="772A2E5D"/>
    <w:rsid w:val="773E003A"/>
    <w:rsid w:val="77464717"/>
    <w:rsid w:val="775C7305"/>
    <w:rsid w:val="777F611D"/>
    <w:rsid w:val="77820214"/>
    <w:rsid w:val="779711EA"/>
    <w:rsid w:val="779B1D06"/>
    <w:rsid w:val="779F140E"/>
    <w:rsid w:val="77B757FA"/>
    <w:rsid w:val="77B93B36"/>
    <w:rsid w:val="77C81254"/>
    <w:rsid w:val="77CC2C83"/>
    <w:rsid w:val="77CE5EAA"/>
    <w:rsid w:val="77F10420"/>
    <w:rsid w:val="77F5205F"/>
    <w:rsid w:val="77FF16D6"/>
    <w:rsid w:val="78115CB4"/>
    <w:rsid w:val="78215E46"/>
    <w:rsid w:val="782E5EC9"/>
    <w:rsid w:val="783B2ADE"/>
    <w:rsid w:val="78470057"/>
    <w:rsid w:val="78763B10"/>
    <w:rsid w:val="78C604C7"/>
    <w:rsid w:val="78C850D3"/>
    <w:rsid w:val="78CA402F"/>
    <w:rsid w:val="78D87A89"/>
    <w:rsid w:val="78DC6EBF"/>
    <w:rsid w:val="78F171C2"/>
    <w:rsid w:val="790A3D28"/>
    <w:rsid w:val="79151F54"/>
    <w:rsid w:val="7916747B"/>
    <w:rsid w:val="791D7A03"/>
    <w:rsid w:val="791E2AC2"/>
    <w:rsid w:val="79255DEE"/>
    <w:rsid w:val="792A5D47"/>
    <w:rsid w:val="79304DC8"/>
    <w:rsid w:val="793D14D4"/>
    <w:rsid w:val="794E5C21"/>
    <w:rsid w:val="79501258"/>
    <w:rsid w:val="796149DD"/>
    <w:rsid w:val="79671A17"/>
    <w:rsid w:val="79715E71"/>
    <w:rsid w:val="7991341C"/>
    <w:rsid w:val="79913A00"/>
    <w:rsid w:val="79B838E8"/>
    <w:rsid w:val="79CC60B7"/>
    <w:rsid w:val="79CF0A89"/>
    <w:rsid w:val="79E16B57"/>
    <w:rsid w:val="79E64401"/>
    <w:rsid w:val="7A00566B"/>
    <w:rsid w:val="7A007F95"/>
    <w:rsid w:val="7A083D2F"/>
    <w:rsid w:val="7A0D3A09"/>
    <w:rsid w:val="7A1246B4"/>
    <w:rsid w:val="7A2F59B7"/>
    <w:rsid w:val="7A31082A"/>
    <w:rsid w:val="7A3C4B82"/>
    <w:rsid w:val="7A455191"/>
    <w:rsid w:val="7A4E1F63"/>
    <w:rsid w:val="7A54100A"/>
    <w:rsid w:val="7A713239"/>
    <w:rsid w:val="7A857647"/>
    <w:rsid w:val="7A882D2A"/>
    <w:rsid w:val="7A890FD9"/>
    <w:rsid w:val="7A9025FB"/>
    <w:rsid w:val="7A9A2E98"/>
    <w:rsid w:val="7AA314BF"/>
    <w:rsid w:val="7AC82497"/>
    <w:rsid w:val="7AD65EAE"/>
    <w:rsid w:val="7AD702E2"/>
    <w:rsid w:val="7AE02DBA"/>
    <w:rsid w:val="7AF65B80"/>
    <w:rsid w:val="7B1031B2"/>
    <w:rsid w:val="7B181208"/>
    <w:rsid w:val="7B1A0D3E"/>
    <w:rsid w:val="7B20183F"/>
    <w:rsid w:val="7B335651"/>
    <w:rsid w:val="7B362AB1"/>
    <w:rsid w:val="7B3A132F"/>
    <w:rsid w:val="7B3A793E"/>
    <w:rsid w:val="7B3C1C12"/>
    <w:rsid w:val="7B4D5448"/>
    <w:rsid w:val="7B4F259A"/>
    <w:rsid w:val="7B516266"/>
    <w:rsid w:val="7B79282E"/>
    <w:rsid w:val="7B793719"/>
    <w:rsid w:val="7B7B68A8"/>
    <w:rsid w:val="7B8F5623"/>
    <w:rsid w:val="7B945B63"/>
    <w:rsid w:val="7B9E0A69"/>
    <w:rsid w:val="7BA0781B"/>
    <w:rsid w:val="7BA77505"/>
    <w:rsid w:val="7BA84094"/>
    <w:rsid w:val="7BAB1DFF"/>
    <w:rsid w:val="7BD545F9"/>
    <w:rsid w:val="7BE40BCC"/>
    <w:rsid w:val="7BEF5D56"/>
    <w:rsid w:val="7BF44D38"/>
    <w:rsid w:val="7BFA4777"/>
    <w:rsid w:val="7BFB34D1"/>
    <w:rsid w:val="7BFD2533"/>
    <w:rsid w:val="7C1D3588"/>
    <w:rsid w:val="7C1F2684"/>
    <w:rsid w:val="7C254F69"/>
    <w:rsid w:val="7C2A0EB4"/>
    <w:rsid w:val="7C327102"/>
    <w:rsid w:val="7C490847"/>
    <w:rsid w:val="7C4A39F7"/>
    <w:rsid w:val="7C4D13DE"/>
    <w:rsid w:val="7C5C6757"/>
    <w:rsid w:val="7C795A51"/>
    <w:rsid w:val="7C9A58AC"/>
    <w:rsid w:val="7CA3738B"/>
    <w:rsid w:val="7CA3786E"/>
    <w:rsid w:val="7CB60CFF"/>
    <w:rsid w:val="7CBA6AE8"/>
    <w:rsid w:val="7CCA2C99"/>
    <w:rsid w:val="7CE55A1C"/>
    <w:rsid w:val="7D0621A4"/>
    <w:rsid w:val="7D204E57"/>
    <w:rsid w:val="7D2F5044"/>
    <w:rsid w:val="7D2F6651"/>
    <w:rsid w:val="7D464B19"/>
    <w:rsid w:val="7D50543B"/>
    <w:rsid w:val="7D534793"/>
    <w:rsid w:val="7D542331"/>
    <w:rsid w:val="7D731B90"/>
    <w:rsid w:val="7D7F0244"/>
    <w:rsid w:val="7D87017A"/>
    <w:rsid w:val="7D8C71EA"/>
    <w:rsid w:val="7D92433D"/>
    <w:rsid w:val="7D994643"/>
    <w:rsid w:val="7D9A68FB"/>
    <w:rsid w:val="7D9D7C23"/>
    <w:rsid w:val="7DBE6736"/>
    <w:rsid w:val="7DC225C5"/>
    <w:rsid w:val="7DC763F7"/>
    <w:rsid w:val="7DE839B4"/>
    <w:rsid w:val="7DEA75D5"/>
    <w:rsid w:val="7DF61A28"/>
    <w:rsid w:val="7DF96934"/>
    <w:rsid w:val="7E0458F7"/>
    <w:rsid w:val="7E0E62E9"/>
    <w:rsid w:val="7E17142D"/>
    <w:rsid w:val="7E1802A2"/>
    <w:rsid w:val="7E24571A"/>
    <w:rsid w:val="7E34569C"/>
    <w:rsid w:val="7E3457A8"/>
    <w:rsid w:val="7E3543FC"/>
    <w:rsid w:val="7E694A23"/>
    <w:rsid w:val="7E7E04F1"/>
    <w:rsid w:val="7E833A82"/>
    <w:rsid w:val="7E8C1B9C"/>
    <w:rsid w:val="7E8D24BB"/>
    <w:rsid w:val="7E8E52CA"/>
    <w:rsid w:val="7E925325"/>
    <w:rsid w:val="7EAB07D5"/>
    <w:rsid w:val="7EB82AF9"/>
    <w:rsid w:val="7EB9676F"/>
    <w:rsid w:val="7EC93FC3"/>
    <w:rsid w:val="7EDC4ED2"/>
    <w:rsid w:val="7EDF4428"/>
    <w:rsid w:val="7EE87B98"/>
    <w:rsid w:val="7EF16CF5"/>
    <w:rsid w:val="7EF66321"/>
    <w:rsid w:val="7F223C7B"/>
    <w:rsid w:val="7F256561"/>
    <w:rsid w:val="7F2F3CE6"/>
    <w:rsid w:val="7F3005F8"/>
    <w:rsid w:val="7F3162C5"/>
    <w:rsid w:val="7F36567D"/>
    <w:rsid w:val="7F430484"/>
    <w:rsid w:val="7F455FE2"/>
    <w:rsid w:val="7F462813"/>
    <w:rsid w:val="7F602294"/>
    <w:rsid w:val="7F693925"/>
    <w:rsid w:val="7F7907EB"/>
    <w:rsid w:val="7F7E69BC"/>
    <w:rsid w:val="7FA20867"/>
    <w:rsid w:val="7FCC7FF2"/>
    <w:rsid w:val="7FF33AA7"/>
    <w:rsid w:val="7FF56498"/>
    <w:rsid w:val="93A38C20"/>
    <w:rsid w:val="9FFE21EA"/>
    <w:rsid w:val="BFFF756A"/>
    <w:rsid w:val="F4DD9A1D"/>
    <w:rsid w:val="FE7E24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uiPriority="39" w:name="toc 6"/>
    <w:lsdException w:uiPriority="39" w:name="toc 7"/>
    <w:lsdException w:uiPriority="39" w:name="toc 8"/>
    <w:lsdException w:uiPriority="39" w:name="toc 9"/>
    <w:lsdException w:qFormat="1" w:uiPriority="99" w:semiHidden="0" w:name="Normal Indent"/>
    <w:lsdException w:qFormat="1" w:uiPriority="0" w:semiHidden="0" w:name="footnote text"/>
    <w:lsdException w:qFormat="1" w:uiPriority="0" w:semiHidden="0" w:name="annotation text"/>
    <w:lsdException w:qFormat="1" w:uiPriority="99" w:semiHidden="0" w:name="header"/>
    <w:lsdException w:qFormat="1"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qFormat="1" w:uiPriority="0" w:semiHidden="0" w:name="footnote reference"/>
    <w:lsdException w:qFormat="1" w:uiPriority="99"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qFormat="1" w:unhideWhenUsed="0" w:uiPriority="0" w:name="toa heading"/>
    <w:lsdException w:uiPriority="0" w:name="List"/>
    <w:lsdException w:uiPriority="0" w:name="List Bullet"/>
    <w:lsdException w:qFormat="1" w:uiPriority="99"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iPriority="99"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qFormat="1" w:uiPriority="99" w:semiHidden="0" w:name="Body Text First Indent"/>
    <w:lsdException w:qFormat="1" w:uiPriority="99"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0" w:semiHidden="0" w:name="FollowedHyperlink"/>
    <w:lsdException w:qFormat="1" w:unhideWhenUsed="0" w:uiPriority="22" w:semiHidden="0" w:name="Strong"/>
    <w:lsdException w:qFormat="1" w:unhideWhenUsed="0" w:uiPriority="20" w:semiHidden="0" w:name="Emphasis"/>
    <w:lsdException w:qFormat="1" w:uiPriority="0"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EastAsia" w:cstheme="minorBidi"/>
      <w:sz w:val="22"/>
      <w:szCs w:val="22"/>
      <w:lang w:val="en-US" w:eastAsia="zh-CN" w:bidi="ar-SA"/>
    </w:rPr>
  </w:style>
  <w:style w:type="paragraph" w:styleId="2">
    <w:name w:val="heading 1"/>
    <w:basedOn w:val="1"/>
    <w:next w:val="3"/>
    <w:link w:val="52"/>
    <w:qFormat/>
    <w:uiPriority w:val="9"/>
    <w:pPr>
      <w:keepNext/>
      <w:keepLines/>
      <w:numPr>
        <w:ilvl w:val="0"/>
        <w:numId w:val="1"/>
      </w:numPr>
      <w:pBdr>
        <w:bottom w:val="single" w:color="585858" w:themeColor="text1" w:themeTint="A6" w:sz="4" w:space="1"/>
      </w:pBdr>
      <w:spacing w:before="360"/>
      <w:outlineLvl w:val="0"/>
    </w:pPr>
    <w:rPr>
      <w:rFonts w:asciiTheme="majorHAnsi" w:hAnsiTheme="majorHAnsi" w:eastAsiaTheme="majorEastAsia" w:cstheme="majorBidi"/>
      <w:b/>
      <w:bCs/>
      <w:smallCaps/>
      <w:color w:val="000000" w:themeColor="text1"/>
      <w:sz w:val="36"/>
      <w:szCs w:val="36"/>
      <w14:textFill>
        <w14:solidFill>
          <w14:schemeClr w14:val="tx1"/>
        </w14:solidFill>
      </w14:textFill>
    </w:rPr>
  </w:style>
  <w:style w:type="paragraph" w:styleId="4">
    <w:name w:val="heading 2"/>
    <w:basedOn w:val="1"/>
    <w:next w:val="3"/>
    <w:link w:val="53"/>
    <w:unhideWhenUsed/>
    <w:qFormat/>
    <w:uiPriority w:val="9"/>
    <w:pPr>
      <w:keepNext/>
      <w:keepLines/>
      <w:numPr>
        <w:ilvl w:val="1"/>
        <w:numId w:val="1"/>
      </w:numPr>
      <w:spacing w:before="360" w:after="0"/>
      <w:outlineLvl w:val="1"/>
    </w:pPr>
    <w:rPr>
      <w:rFonts w:asciiTheme="majorHAnsi" w:hAnsiTheme="majorHAnsi" w:eastAsiaTheme="majorEastAsia" w:cstheme="majorBidi"/>
      <w:b/>
      <w:bCs/>
      <w:smallCaps/>
      <w:color w:val="000000" w:themeColor="text1"/>
      <w:sz w:val="28"/>
      <w:szCs w:val="28"/>
      <w14:textFill>
        <w14:solidFill>
          <w14:schemeClr w14:val="tx1"/>
        </w14:solidFill>
      </w14:textFill>
    </w:rPr>
  </w:style>
  <w:style w:type="paragraph" w:styleId="5">
    <w:name w:val="heading 3"/>
    <w:basedOn w:val="1"/>
    <w:next w:val="1"/>
    <w:link w:val="54"/>
    <w:unhideWhenUsed/>
    <w:qFormat/>
    <w:uiPriority w:val="9"/>
    <w:pPr>
      <w:keepNext/>
      <w:keepLines/>
      <w:numPr>
        <w:ilvl w:val="2"/>
        <w:numId w:val="1"/>
      </w:numPr>
      <w:spacing w:before="200" w:after="0"/>
      <w:outlineLvl w:val="2"/>
    </w:pPr>
    <w:rPr>
      <w:rFonts w:asciiTheme="majorHAnsi" w:hAnsiTheme="majorHAnsi" w:eastAsiaTheme="majorEastAsia" w:cstheme="majorBidi"/>
      <w:b/>
      <w:bCs/>
      <w:color w:val="000000" w:themeColor="text1"/>
      <w:sz w:val="24"/>
      <w14:textFill>
        <w14:solidFill>
          <w14:schemeClr w14:val="tx1"/>
        </w14:solidFill>
      </w14:textFill>
    </w:rPr>
  </w:style>
  <w:style w:type="paragraph" w:styleId="6">
    <w:name w:val="heading 4"/>
    <w:basedOn w:val="1"/>
    <w:next w:val="1"/>
    <w:link w:val="55"/>
    <w:unhideWhenUsed/>
    <w:qFormat/>
    <w:uiPriority w:val="9"/>
    <w:pPr>
      <w:keepNext/>
      <w:keepLines/>
      <w:numPr>
        <w:ilvl w:val="3"/>
        <w:numId w:val="1"/>
      </w:numPr>
      <w:spacing w:before="200" w:after="0"/>
      <w:outlineLvl w:val="3"/>
    </w:pPr>
    <w:rPr>
      <w:rFonts w:asciiTheme="majorHAnsi" w:hAnsiTheme="majorHAnsi" w:eastAsiaTheme="majorEastAsia" w:cstheme="majorBidi"/>
      <w:b/>
      <w:bCs/>
      <w:iCs/>
      <w:color w:val="000000" w:themeColor="text1"/>
      <w:sz w:val="24"/>
      <w14:textFill>
        <w14:solidFill>
          <w14:schemeClr w14:val="tx1"/>
        </w14:solidFill>
      </w14:textFill>
    </w:rPr>
  </w:style>
  <w:style w:type="paragraph" w:styleId="7">
    <w:name w:val="heading 5"/>
    <w:basedOn w:val="1"/>
    <w:next w:val="1"/>
    <w:link w:val="56"/>
    <w:unhideWhenUsed/>
    <w:qFormat/>
    <w:uiPriority w:val="9"/>
    <w:pPr>
      <w:keepNext/>
      <w:keepLines/>
      <w:numPr>
        <w:ilvl w:val="4"/>
        <w:numId w:val="1"/>
      </w:numPr>
      <w:spacing w:before="200" w:after="0"/>
      <w:ind w:left="0" w:hanging="1009" w:hangingChars="459"/>
      <w:outlineLvl w:val="4"/>
    </w:pPr>
    <w:rPr>
      <w:rFonts w:asciiTheme="majorHAnsi" w:hAnsiTheme="majorHAnsi" w:eastAsiaTheme="majorEastAsia" w:cstheme="majorBidi"/>
      <w:b/>
      <w:sz w:val="24"/>
    </w:rPr>
  </w:style>
  <w:style w:type="paragraph" w:styleId="8">
    <w:name w:val="heading 6"/>
    <w:basedOn w:val="1"/>
    <w:next w:val="1"/>
    <w:link w:val="65"/>
    <w:unhideWhenUsed/>
    <w:qFormat/>
    <w:uiPriority w:val="9"/>
    <w:pPr>
      <w:keepNext/>
      <w:keepLines/>
      <w:numPr>
        <w:ilvl w:val="5"/>
        <w:numId w:val="1"/>
      </w:numPr>
      <w:spacing w:before="200" w:after="0"/>
      <w:outlineLvl w:val="5"/>
    </w:pPr>
    <w:rPr>
      <w:rFonts w:asciiTheme="majorHAnsi" w:hAnsiTheme="majorHAnsi" w:eastAsiaTheme="majorEastAsia" w:cstheme="majorBidi"/>
      <w:b/>
      <w:iCs/>
      <w:sz w:val="24"/>
    </w:rPr>
  </w:style>
  <w:style w:type="paragraph" w:styleId="9">
    <w:name w:val="heading 7"/>
    <w:basedOn w:val="1"/>
    <w:next w:val="1"/>
    <w:link w:val="66"/>
    <w:unhideWhenUsed/>
    <w:qFormat/>
    <w:uiPriority w:val="9"/>
    <w:pPr>
      <w:keepNext/>
      <w:keepLines/>
      <w:numPr>
        <w:ilvl w:val="6"/>
        <w:numId w:val="1"/>
      </w:numPr>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67"/>
    <w:unhideWhenUsed/>
    <w:qFormat/>
    <w:uiPriority w:val="9"/>
    <w:pPr>
      <w:keepNext/>
      <w:keepLines/>
      <w:numPr>
        <w:ilvl w:val="7"/>
        <w:numId w:val="1"/>
      </w:numPr>
      <w:spacing w:before="200" w:after="0"/>
      <w:outlineLvl w:val="7"/>
    </w:pPr>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paragraph" w:styleId="11">
    <w:name w:val="heading 9"/>
    <w:basedOn w:val="1"/>
    <w:next w:val="1"/>
    <w:link w:val="68"/>
    <w:unhideWhenUsed/>
    <w:qFormat/>
    <w:uiPriority w:val="9"/>
    <w:pPr>
      <w:keepNext/>
      <w:keepLines/>
      <w:numPr>
        <w:ilvl w:val="8"/>
        <w:numId w:val="1"/>
      </w:numPr>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3">
    <w:name w:val="Normal Indent"/>
    <w:basedOn w:val="1"/>
    <w:unhideWhenUsed/>
    <w:qFormat/>
    <w:uiPriority w:val="99"/>
    <w:pPr>
      <w:ind w:firstLine="420"/>
    </w:pPr>
  </w:style>
  <w:style w:type="paragraph" w:styleId="12">
    <w:name w:val="List Number"/>
    <w:basedOn w:val="13"/>
    <w:unhideWhenUsed/>
    <w:qFormat/>
    <w:uiPriority w:val="99"/>
    <w:pPr>
      <w:numPr>
        <w:ilvl w:val="0"/>
        <w:numId w:val="2"/>
      </w:numPr>
    </w:pPr>
  </w:style>
  <w:style w:type="paragraph" w:styleId="13">
    <w:name w:val="Body Text First Indent"/>
    <w:basedOn w:val="14"/>
    <w:link w:val="108"/>
    <w:unhideWhenUsed/>
    <w:qFormat/>
    <w:uiPriority w:val="99"/>
    <w:pPr>
      <w:spacing w:after="0"/>
      <w:ind w:left="0" w:firstLine="200" w:firstLineChars="200"/>
    </w:pPr>
    <w:rPr>
      <w:rFonts w:ascii="Times New Roman" w:eastAsia="仿宋_GB2312"/>
      <w:kern w:val="2"/>
      <w:sz w:val="28"/>
      <w:szCs w:val="21"/>
    </w:rPr>
  </w:style>
  <w:style w:type="paragraph" w:styleId="14">
    <w:name w:val="Body Text"/>
    <w:basedOn w:val="1"/>
    <w:link w:val="109"/>
    <w:unhideWhenUsed/>
    <w:qFormat/>
    <w:uiPriority w:val="99"/>
    <w:pPr>
      <w:keepLines/>
      <w:spacing w:after="120"/>
      <w:ind w:left="720"/>
    </w:pPr>
    <w:rPr>
      <w:rFonts w:ascii="宋体" w:hAnsi="Times New Roman"/>
      <w:snapToGrid w:val="0"/>
      <w:sz w:val="20"/>
      <w:szCs w:val="20"/>
    </w:rPr>
  </w:style>
  <w:style w:type="paragraph" w:styleId="15">
    <w:name w:val="caption"/>
    <w:basedOn w:val="1"/>
    <w:next w:val="1"/>
    <w:unhideWhenUsed/>
    <w:qFormat/>
    <w:uiPriority w:val="35"/>
    <w:pPr>
      <w:spacing w:after="200" w:line="240" w:lineRule="auto"/>
    </w:pPr>
    <w:rPr>
      <w:i/>
      <w:iCs/>
      <w:color w:val="1F497D" w:themeColor="text2"/>
      <w:sz w:val="18"/>
      <w:szCs w:val="18"/>
      <w14:textFill>
        <w14:solidFill>
          <w14:schemeClr w14:val="tx2"/>
        </w14:solidFill>
      </w14:textFill>
    </w:rPr>
  </w:style>
  <w:style w:type="paragraph" w:styleId="16">
    <w:name w:val="Document Map"/>
    <w:basedOn w:val="1"/>
    <w:link w:val="70"/>
    <w:unhideWhenUsed/>
    <w:qFormat/>
    <w:uiPriority w:val="0"/>
    <w:rPr>
      <w:rFonts w:ascii="宋体"/>
      <w:sz w:val="18"/>
      <w:szCs w:val="18"/>
    </w:rPr>
  </w:style>
  <w:style w:type="paragraph" w:styleId="17">
    <w:name w:val="toa heading"/>
    <w:basedOn w:val="1"/>
    <w:next w:val="1"/>
    <w:semiHidden/>
    <w:qFormat/>
    <w:uiPriority w:val="0"/>
    <w:pPr>
      <w:spacing w:before="120"/>
    </w:pPr>
    <w:rPr>
      <w:rFonts w:ascii="Arial" w:hAnsi="Arial" w:cs="Arial"/>
    </w:rPr>
  </w:style>
  <w:style w:type="paragraph" w:styleId="18">
    <w:name w:val="annotation text"/>
    <w:basedOn w:val="1"/>
    <w:link w:val="69"/>
    <w:unhideWhenUsed/>
    <w:qFormat/>
    <w:uiPriority w:val="0"/>
  </w:style>
  <w:style w:type="paragraph" w:styleId="19">
    <w:name w:val="Body Text Indent"/>
    <w:basedOn w:val="1"/>
    <w:unhideWhenUsed/>
    <w:qFormat/>
    <w:uiPriority w:val="99"/>
    <w:pPr>
      <w:spacing w:after="0"/>
      <w:ind w:firstLine="200"/>
    </w:pPr>
    <w:rPr>
      <w:rFonts w:ascii="Times New Roman" w:hAnsi="Times New Roman" w:eastAsia="仿宋_GB2312"/>
      <w:sz w:val="28"/>
      <w:szCs w:val="21"/>
    </w:rPr>
  </w:style>
  <w:style w:type="paragraph" w:styleId="20">
    <w:name w:val="toc 5"/>
    <w:basedOn w:val="1"/>
    <w:next w:val="1"/>
    <w:unhideWhenUsed/>
    <w:qFormat/>
    <w:uiPriority w:val="39"/>
    <w:pPr>
      <w:ind w:left="1680" w:leftChars="800"/>
    </w:pPr>
  </w:style>
  <w:style w:type="paragraph" w:styleId="21">
    <w:name w:val="toc 3"/>
    <w:basedOn w:val="1"/>
    <w:next w:val="1"/>
    <w:unhideWhenUsed/>
    <w:qFormat/>
    <w:uiPriority w:val="39"/>
    <w:pPr>
      <w:ind w:left="840" w:leftChars="400"/>
    </w:pPr>
  </w:style>
  <w:style w:type="paragraph" w:styleId="22">
    <w:name w:val="Balloon Text"/>
    <w:basedOn w:val="1"/>
    <w:link w:val="64"/>
    <w:unhideWhenUsed/>
    <w:qFormat/>
    <w:uiPriority w:val="99"/>
    <w:pPr>
      <w:spacing w:line="240" w:lineRule="auto"/>
    </w:pPr>
    <w:rPr>
      <w:sz w:val="18"/>
      <w:szCs w:val="18"/>
    </w:rPr>
  </w:style>
  <w:style w:type="paragraph" w:styleId="23">
    <w:name w:val="footer"/>
    <w:basedOn w:val="1"/>
    <w:link w:val="61"/>
    <w:unhideWhenUsed/>
    <w:qFormat/>
    <w:uiPriority w:val="99"/>
    <w:pPr>
      <w:tabs>
        <w:tab w:val="center" w:pos="4153"/>
        <w:tab w:val="right" w:pos="8306"/>
      </w:tabs>
      <w:snapToGrid w:val="0"/>
      <w:spacing w:line="240" w:lineRule="auto"/>
    </w:pPr>
    <w:rPr>
      <w:sz w:val="18"/>
      <w:szCs w:val="18"/>
    </w:rPr>
  </w:style>
  <w:style w:type="paragraph" w:styleId="24">
    <w:name w:val="header"/>
    <w:basedOn w:val="1"/>
    <w:link w:val="6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25">
    <w:name w:val="toc 1"/>
    <w:basedOn w:val="1"/>
    <w:next w:val="1"/>
    <w:unhideWhenUsed/>
    <w:qFormat/>
    <w:uiPriority w:val="39"/>
  </w:style>
  <w:style w:type="paragraph" w:styleId="26">
    <w:name w:val="toc 4"/>
    <w:basedOn w:val="1"/>
    <w:next w:val="1"/>
    <w:unhideWhenUsed/>
    <w:qFormat/>
    <w:uiPriority w:val="39"/>
    <w:pPr>
      <w:ind w:left="1260" w:leftChars="600"/>
    </w:pPr>
  </w:style>
  <w:style w:type="paragraph" w:styleId="27">
    <w:name w:val="Subtitle"/>
    <w:basedOn w:val="1"/>
    <w:next w:val="1"/>
    <w:link w:val="58"/>
    <w:qFormat/>
    <w:uiPriority w:val="11"/>
    <w:rPr>
      <w:color w:val="595959" w:themeColor="text1" w:themeTint="A6"/>
      <w:spacing w:val="10"/>
      <w14:textFill>
        <w14:solidFill>
          <w14:schemeClr w14:val="tx1">
            <w14:lumMod w14:val="65000"/>
            <w14:lumOff w14:val="35000"/>
          </w14:schemeClr>
        </w14:solidFill>
      </w14:textFill>
    </w:rPr>
  </w:style>
  <w:style w:type="paragraph" w:styleId="28">
    <w:name w:val="footnote text"/>
    <w:basedOn w:val="1"/>
    <w:link w:val="91"/>
    <w:unhideWhenUsed/>
    <w:qFormat/>
    <w:uiPriority w:val="0"/>
    <w:pPr>
      <w:snapToGrid w:val="0"/>
    </w:pPr>
    <w:rPr>
      <w:sz w:val="18"/>
      <w:szCs w:val="18"/>
    </w:rPr>
  </w:style>
  <w:style w:type="paragraph" w:styleId="29">
    <w:name w:val="toc 2"/>
    <w:basedOn w:val="1"/>
    <w:next w:val="1"/>
    <w:unhideWhenUsed/>
    <w:qFormat/>
    <w:uiPriority w:val="39"/>
    <w:pPr>
      <w:ind w:left="420" w:leftChars="200"/>
    </w:pPr>
  </w:style>
  <w:style w:type="paragraph" w:styleId="30">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hint="eastAsia" w:ascii="宋体" w:hAnsi="宋体"/>
      <w:sz w:val="24"/>
      <w:szCs w:val="24"/>
    </w:rPr>
  </w:style>
  <w:style w:type="paragraph" w:styleId="31">
    <w:name w:val="Normal (Web)"/>
    <w:basedOn w:val="1"/>
    <w:unhideWhenUsed/>
    <w:qFormat/>
    <w:uiPriority w:val="99"/>
    <w:pPr>
      <w:spacing w:before="100" w:beforeAutospacing="1" w:after="100" w:afterAutospacing="1" w:line="240" w:lineRule="auto"/>
    </w:pPr>
    <w:rPr>
      <w:rFonts w:ascii="宋体" w:hAnsi="宋体" w:eastAsia="宋体" w:cs="宋体"/>
      <w:sz w:val="24"/>
      <w:szCs w:val="24"/>
    </w:rPr>
  </w:style>
  <w:style w:type="paragraph" w:styleId="32">
    <w:name w:val="Title"/>
    <w:basedOn w:val="1"/>
    <w:next w:val="1"/>
    <w:link w:val="57"/>
    <w:qFormat/>
    <w:uiPriority w:val="10"/>
    <w:pPr>
      <w:spacing w:after="0" w:line="240" w:lineRule="auto"/>
      <w:contextualSpacing/>
    </w:pPr>
    <w:rPr>
      <w:rFonts w:asciiTheme="majorHAnsi" w:hAnsiTheme="majorHAnsi" w:eastAsiaTheme="majorEastAsia" w:cstheme="majorBidi"/>
      <w:color w:val="000000" w:themeColor="text1"/>
      <w:sz w:val="56"/>
      <w:szCs w:val="56"/>
      <w14:textFill>
        <w14:solidFill>
          <w14:schemeClr w14:val="tx1"/>
        </w14:solidFill>
      </w14:textFill>
    </w:rPr>
  </w:style>
  <w:style w:type="paragraph" w:styleId="33">
    <w:name w:val="annotation subject"/>
    <w:basedOn w:val="18"/>
    <w:next w:val="18"/>
    <w:link w:val="94"/>
    <w:unhideWhenUsed/>
    <w:qFormat/>
    <w:uiPriority w:val="0"/>
    <w:rPr>
      <w:b/>
      <w:bCs/>
    </w:rPr>
  </w:style>
  <w:style w:type="paragraph" w:styleId="34">
    <w:name w:val="Body Text First Indent 2"/>
    <w:basedOn w:val="19"/>
    <w:unhideWhenUsed/>
    <w:qFormat/>
    <w:uiPriority w:val="99"/>
    <w:pPr>
      <w:ind w:firstLine="420" w:firstLineChars="200"/>
    </w:pPr>
  </w:style>
  <w:style w:type="table" w:styleId="36">
    <w:name w:val="Table Grid"/>
    <w:basedOn w:val="3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Strong"/>
    <w:basedOn w:val="37"/>
    <w:qFormat/>
    <w:uiPriority w:val="22"/>
    <w:rPr>
      <w:b/>
      <w:bCs/>
      <w:color w:val="000000" w:themeColor="text1"/>
      <w14:textFill>
        <w14:solidFill>
          <w14:schemeClr w14:val="tx1"/>
        </w14:solidFill>
      </w14:textFill>
    </w:rPr>
  </w:style>
  <w:style w:type="character" w:styleId="39">
    <w:name w:val="page number"/>
    <w:qFormat/>
    <w:uiPriority w:val="0"/>
    <w:rPr>
      <w:rFonts w:eastAsia="宋体"/>
      <w:sz w:val="21"/>
      <w:szCs w:val="18"/>
    </w:rPr>
  </w:style>
  <w:style w:type="character" w:styleId="40">
    <w:name w:val="FollowedHyperlink"/>
    <w:basedOn w:val="37"/>
    <w:unhideWhenUsed/>
    <w:qFormat/>
    <w:uiPriority w:val="0"/>
    <w:rPr>
      <w:color w:val="800080" w:themeColor="followedHyperlink"/>
      <w:u w:val="single"/>
      <w14:textFill>
        <w14:solidFill>
          <w14:schemeClr w14:val="folHlink"/>
        </w14:solidFill>
      </w14:textFill>
    </w:rPr>
  </w:style>
  <w:style w:type="character" w:styleId="41">
    <w:name w:val="Emphasis"/>
    <w:basedOn w:val="37"/>
    <w:qFormat/>
    <w:uiPriority w:val="20"/>
    <w:rPr>
      <w:i/>
      <w:iCs/>
      <w:color w:val="auto"/>
    </w:rPr>
  </w:style>
  <w:style w:type="character" w:styleId="42">
    <w:name w:val="Hyperlink"/>
    <w:basedOn w:val="37"/>
    <w:unhideWhenUsed/>
    <w:qFormat/>
    <w:uiPriority w:val="99"/>
    <w:rPr>
      <w:color w:val="0563C1"/>
      <w:u w:val="single"/>
    </w:rPr>
  </w:style>
  <w:style w:type="character" w:styleId="43">
    <w:name w:val="annotation reference"/>
    <w:unhideWhenUsed/>
    <w:qFormat/>
    <w:uiPriority w:val="99"/>
    <w:rPr>
      <w:sz w:val="21"/>
      <w:szCs w:val="21"/>
    </w:rPr>
  </w:style>
  <w:style w:type="character" w:styleId="44">
    <w:name w:val="footnote reference"/>
    <w:basedOn w:val="37"/>
    <w:unhideWhenUsed/>
    <w:qFormat/>
    <w:uiPriority w:val="0"/>
    <w:rPr>
      <w:vertAlign w:val="superscript"/>
    </w:rPr>
  </w:style>
  <w:style w:type="paragraph" w:customStyle="1" w:styleId="45">
    <w:name w:val="列出段落1"/>
    <w:basedOn w:val="1"/>
    <w:qFormat/>
    <w:uiPriority w:val="34"/>
    <w:pPr>
      <w:ind w:firstLine="420" w:firstLineChars="200"/>
    </w:pPr>
  </w:style>
  <w:style w:type="paragraph" w:customStyle="1" w:styleId="46">
    <w:name w:val="标题2"/>
    <w:basedOn w:val="4"/>
    <w:link w:val="62"/>
    <w:qFormat/>
    <w:uiPriority w:val="0"/>
    <w:pPr>
      <w:numPr>
        <w:numId w:val="3"/>
      </w:numPr>
      <w:ind w:left="425" w:hanging="425"/>
    </w:pPr>
    <w:rPr>
      <w:rFonts w:eastAsiaTheme="minorEastAsia" w:cstheme="minorBidi"/>
    </w:rPr>
  </w:style>
  <w:style w:type="paragraph" w:customStyle="1" w:styleId="47">
    <w:name w:val="列出段落11"/>
    <w:basedOn w:val="1"/>
    <w:qFormat/>
    <w:uiPriority w:val="34"/>
    <w:pPr>
      <w:ind w:firstLine="420" w:firstLineChars="200"/>
    </w:pPr>
  </w:style>
  <w:style w:type="paragraph" w:customStyle="1" w:styleId="48">
    <w:name w:val="_Style 37"/>
    <w:basedOn w:val="1"/>
    <w:next w:val="1"/>
    <w:qFormat/>
    <w:uiPriority w:val="0"/>
    <w:pPr>
      <w:pBdr>
        <w:bottom w:val="single" w:color="auto" w:sz="6" w:space="1"/>
      </w:pBdr>
      <w:jc w:val="center"/>
    </w:pPr>
    <w:rPr>
      <w:rFonts w:ascii="Arial"/>
      <w:vanish/>
      <w:sz w:val="16"/>
    </w:rPr>
  </w:style>
  <w:style w:type="paragraph" w:customStyle="1" w:styleId="49">
    <w:name w:val="TOC 标题1"/>
    <w:basedOn w:val="2"/>
    <w:next w:val="1"/>
    <w:unhideWhenUsed/>
    <w:qFormat/>
    <w:uiPriority w:val="39"/>
    <w:pPr>
      <w:numPr>
        <w:numId w:val="0"/>
      </w:numPr>
      <w:spacing w:before="240" w:after="0"/>
      <w:outlineLvl w:val="9"/>
    </w:pPr>
    <w:rPr>
      <w:rFonts w:ascii="Calibri Light" w:hAnsi="Calibri Light"/>
      <w:b w:val="0"/>
      <w:bCs w:val="0"/>
      <w:color w:val="2D73B3"/>
      <w:szCs w:val="32"/>
    </w:rPr>
  </w:style>
  <w:style w:type="paragraph" w:customStyle="1" w:styleId="50">
    <w:name w:val="表头文字"/>
    <w:basedOn w:val="1"/>
    <w:qFormat/>
    <w:uiPriority w:val="0"/>
    <w:pPr>
      <w:jc w:val="center"/>
    </w:pPr>
    <w:rPr>
      <w:rFonts w:ascii="Times New Roman" w:hAnsi="Times New Roman"/>
      <w:b/>
      <w:bCs/>
      <w:szCs w:val="24"/>
    </w:rPr>
  </w:style>
  <w:style w:type="paragraph" w:customStyle="1" w:styleId="51">
    <w:name w:val="表格文字"/>
    <w:basedOn w:val="1"/>
    <w:qFormat/>
    <w:uiPriority w:val="0"/>
    <w:rPr>
      <w:rFonts w:ascii="Times New Roman" w:hAnsi="Times New Roman"/>
      <w:szCs w:val="24"/>
    </w:rPr>
  </w:style>
  <w:style w:type="character" w:customStyle="1" w:styleId="52">
    <w:name w:val="标题 1 字符"/>
    <w:basedOn w:val="37"/>
    <w:link w:val="2"/>
    <w:qFormat/>
    <w:uiPriority w:val="9"/>
    <w:rPr>
      <w:rFonts w:asciiTheme="majorHAnsi" w:hAnsiTheme="majorHAnsi" w:eastAsiaTheme="majorEastAsia" w:cstheme="majorBidi"/>
      <w:b/>
      <w:bCs/>
      <w:smallCaps/>
      <w:color w:val="000000" w:themeColor="text1"/>
      <w:sz w:val="36"/>
      <w:szCs w:val="36"/>
      <w14:textFill>
        <w14:solidFill>
          <w14:schemeClr w14:val="tx1"/>
        </w14:solidFill>
      </w14:textFill>
    </w:rPr>
  </w:style>
  <w:style w:type="character" w:customStyle="1" w:styleId="53">
    <w:name w:val="标题 2 字符"/>
    <w:basedOn w:val="37"/>
    <w:link w:val="4"/>
    <w:qFormat/>
    <w:uiPriority w:val="9"/>
    <w:rPr>
      <w:rFonts w:asciiTheme="majorHAnsi" w:hAnsiTheme="majorHAnsi" w:eastAsiaTheme="majorEastAsia" w:cstheme="majorBidi"/>
      <w:b/>
      <w:bCs/>
      <w:smallCaps/>
      <w:color w:val="000000" w:themeColor="text1"/>
      <w:sz w:val="28"/>
      <w:szCs w:val="28"/>
      <w14:textFill>
        <w14:solidFill>
          <w14:schemeClr w14:val="tx1"/>
        </w14:solidFill>
      </w14:textFill>
    </w:rPr>
  </w:style>
  <w:style w:type="character" w:customStyle="1" w:styleId="54">
    <w:name w:val="标题 3 字符"/>
    <w:basedOn w:val="37"/>
    <w:link w:val="5"/>
    <w:qFormat/>
    <w:uiPriority w:val="9"/>
    <w:rPr>
      <w:rFonts w:asciiTheme="majorHAnsi" w:hAnsiTheme="majorHAnsi" w:eastAsiaTheme="majorEastAsia" w:cstheme="majorBidi"/>
      <w:b/>
      <w:bCs/>
      <w:color w:val="000000" w:themeColor="text1"/>
      <w:sz w:val="24"/>
      <w14:textFill>
        <w14:solidFill>
          <w14:schemeClr w14:val="tx1"/>
        </w14:solidFill>
      </w14:textFill>
    </w:rPr>
  </w:style>
  <w:style w:type="character" w:customStyle="1" w:styleId="55">
    <w:name w:val="标题 4 字符"/>
    <w:basedOn w:val="37"/>
    <w:link w:val="6"/>
    <w:qFormat/>
    <w:uiPriority w:val="9"/>
    <w:rPr>
      <w:rFonts w:asciiTheme="majorHAnsi" w:hAnsiTheme="majorHAnsi" w:eastAsiaTheme="majorEastAsia" w:cstheme="majorBidi"/>
      <w:b/>
      <w:bCs/>
      <w:iCs/>
      <w:color w:val="000000" w:themeColor="text1"/>
      <w:sz w:val="24"/>
      <w14:textFill>
        <w14:solidFill>
          <w14:schemeClr w14:val="tx1"/>
        </w14:solidFill>
      </w14:textFill>
    </w:rPr>
  </w:style>
  <w:style w:type="character" w:customStyle="1" w:styleId="56">
    <w:name w:val="标题 5 字符"/>
    <w:basedOn w:val="37"/>
    <w:link w:val="7"/>
    <w:qFormat/>
    <w:uiPriority w:val="9"/>
    <w:rPr>
      <w:rFonts w:asciiTheme="majorHAnsi" w:hAnsiTheme="majorHAnsi" w:eastAsiaTheme="majorEastAsia" w:cstheme="majorBidi"/>
      <w:b/>
      <w:sz w:val="24"/>
      <w:szCs w:val="22"/>
    </w:rPr>
  </w:style>
  <w:style w:type="character" w:customStyle="1" w:styleId="57">
    <w:name w:val="标题 字符"/>
    <w:basedOn w:val="37"/>
    <w:link w:val="32"/>
    <w:qFormat/>
    <w:uiPriority w:val="10"/>
    <w:rPr>
      <w:rFonts w:asciiTheme="majorHAnsi" w:hAnsiTheme="majorHAnsi" w:eastAsiaTheme="majorEastAsia" w:cstheme="majorBidi"/>
      <w:color w:val="000000" w:themeColor="text1"/>
      <w:sz w:val="56"/>
      <w:szCs w:val="56"/>
      <w14:textFill>
        <w14:solidFill>
          <w14:schemeClr w14:val="tx1"/>
        </w14:solidFill>
      </w14:textFill>
    </w:rPr>
  </w:style>
  <w:style w:type="character" w:customStyle="1" w:styleId="58">
    <w:name w:val="副标题 字符"/>
    <w:basedOn w:val="37"/>
    <w:link w:val="27"/>
    <w:qFormat/>
    <w:uiPriority w:val="11"/>
    <w:rPr>
      <w:color w:val="595959" w:themeColor="text1" w:themeTint="A6"/>
      <w:spacing w:val="10"/>
      <w14:textFill>
        <w14:solidFill>
          <w14:schemeClr w14:val="tx1">
            <w14:lumMod w14:val="65000"/>
            <w14:lumOff w14:val="35000"/>
          </w14:schemeClr>
        </w14:solidFill>
      </w14:textFill>
    </w:rPr>
  </w:style>
  <w:style w:type="character" w:customStyle="1" w:styleId="59">
    <w:name w:val="不明显参考1"/>
    <w:qFormat/>
    <w:uiPriority w:val="31"/>
    <w:rPr>
      <w:smallCaps/>
      <w:color w:val="ED7D31"/>
      <w:u w:val="single"/>
    </w:rPr>
  </w:style>
  <w:style w:type="character" w:customStyle="1" w:styleId="60">
    <w:name w:val="页眉 字符"/>
    <w:link w:val="24"/>
    <w:qFormat/>
    <w:uiPriority w:val="99"/>
    <w:rPr>
      <w:sz w:val="18"/>
      <w:szCs w:val="18"/>
    </w:rPr>
  </w:style>
  <w:style w:type="character" w:customStyle="1" w:styleId="61">
    <w:name w:val="页脚 字符"/>
    <w:link w:val="23"/>
    <w:qFormat/>
    <w:uiPriority w:val="99"/>
    <w:rPr>
      <w:sz w:val="18"/>
      <w:szCs w:val="18"/>
    </w:rPr>
  </w:style>
  <w:style w:type="character" w:customStyle="1" w:styleId="62">
    <w:name w:val="标题2 Char"/>
    <w:link w:val="46"/>
    <w:qFormat/>
    <w:uiPriority w:val="0"/>
    <w:rPr>
      <w:rFonts w:ascii="Calibri" w:hAnsi="Calibri"/>
      <w:b/>
      <w:bCs/>
      <w:sz w:val="28"/>
      <w:szCs w:val="32"/>
    </w:rPr>
  </w:style>
  <w:style w:type="character" w:customStyle="1" w:styleId="63">
    <w:name w:val="apple-converted-space"/>
    <w:basedOn w:val="37"/>
    <w:qFormat/>
    <w:uiPriority w:val="0"/>
  </w:style>
  <w:style w:type="character" w:customStyle="1" w:styleId="64">
    <w:name w:val="批注框文本 字符"/>
    <w:link w:val="22"/>
    <w:semiHidden/>
    <w:qFormat/>
    <w:uiPriority w:val="99"/>
    <w:rPr>
      <w:rFonts w:ascii="Calibri" w:hAnsi="Calibri" w:eastAsia="宋体"/>
      <w:kern w:val="2"/>
      <w:sz w:val="18"/>
      <w:szCs w:val="18"/>
    </w:rPr>
  </w:style>
  <w:style w:type="character" w:customStyle="1" w:styleId="65">
    <w:name w:val="标题 6 字符"/>
    <w:basedOn w:val="37"/>
    <w:link w:val="8"/>
    <w:qFormat/>
    <w:uiPriority w:val="9"/>
    <w:rPr>
      <w:rFonts w:asciiTheme="majorHAnsi" w:hAnsiTheme="majorHAnsi" w:eastAsiaTheme="majorEastAsia" w:cstheme="majorBidi"/>
      <w:b/>
      <w:iCs/>
      <w:sz w:val="24"/>
    </w:rPr>
  </w:style>
  <w:style w:type="character" w:customStyle="1" w:styleId="66">
    <w:name w:val="标题 7 字符"/>
    <w:basedOn w:val="37"/>
    <w:link w:val="9"/>
    <w:qFormat/>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67">
    <w:name w:val="标题 8 字符"/>
    <w:basedOn w:val="37"/>
    <w:link w:val="10"/>
    <w:qFormat/>
    <w:uiPriority w:val="9"/>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character" w:customStyle="1" w:styleId="68">
    <w:name w:val="标题 9 字符"/>
    <w:basedOn w:val="37"/>
    <w:link w:val="11"/>
    <w:qFormat/>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customStyle="1" w:styleId="69">
    <w:name w:val="批注文字 字符"/>
    <w:link w:val="18"/>
    <w:qFormat/>
    <w:uiPriority w:val="0"/>
    <w:rPr>
      <w:rFonts w:ascii="Calibri" w:hAnsi="Calibri" w:eastAsia="宋体"/>
      <w:kern w:val="2"/>
      <w:sz w:val="21"/>
      <w:szCs w:val="22"/>
    </w:rPr>
  </w:style>
  <w:style w:type="character" w:customStyle="1" w:styleId="70">
    <w:name w:val="文档结构图 字符"/>
    <w:basedOn w:val="37"/>
    <w:link w:val="16"/>
    <w:semiHidden/>
    <w:qFormat/>
    <w:uiPriority w:val="0"/>
    <w:rPr>
      <w:rFonts w:ascii="宋体" w:hAnsi="Calibri"/>
      <w:kern w:val="2"/>
      <w:sz w:val="18"/>
      <w:szCs w:val="18"/>
    </w:rPr>
  </w:style>
  <w:style w:type="paragraph" w:customStyle="1" w:styleId="71">
    <w:name w:val="列出段落2"/>
    <w:basedOn w:val="1"/>
    <w:qFormat/>
    <w:uiPriority w:val="0"/>
    <w:pPr>
      <w:ind w:firstLine="420" w:firstLineChars="200"/>
    </w:pPr>
  </w:style>
  <w:style w:type="paragraph" w:customStyle="1" w:styleId="72">
    <w:name w:val="标题3"/>
    <w:basedOn w:val="5"/>
    <w:link w:val="73"/>
    <w:qFormat/>
    <w:uiPriority w:val="0"/>
    <w:rPr>
      <w:lang w:bidi="zh-CN"/>
    </w:rPr>
  </w:style>
  <w:style w:type="character" w:customStyle="1" w:styleId="73">
    <w:name w:val="标题3 Char"/>
    <w:basedOn w:val="54"/>
    <w:link w:val="72"/>
    <w:qFormat/>
    <w:uiPriority w:val="0"/>
    <w:rPr>
      <w:rFonts w:ascii="Calibri" w:hAnsi="Calibri" w:eastAsiaTheme="majorEastAsia" w:cstheme="majorBidi"/>
      <w:color w:val="000000" w:themeColor="text1"/>
      <w:kern w:val="2"/>
      <w:sz w:val="28"/>
      <w:szCs w:val="32"/>
      <w:lang w:bidi="zh-CN"/>
      <w14:textFill>
        <w14:solidFill>
          <w14:schemeClr w14:val="tx1"/>
        </w14:solidFill>
      </w14:textFill>
    </w:rPr>
  </w:style>
  <w:style w:type="paragraph" w:customStyle="1" w:styleId="74">
    <w:name w:val="样式3"/>
    <w:basedOn w:val="5"/>
    <w:link w:val="75"/>
    <w:qFormat/>
    <w:uiPriority w:val="0"/>
    <w:pPr>
      <w:ind w:left="704" w:right="210"/>
    </w:pPr>
  </w:style>
  <w:style w:type="character" w:customStyle="1" w:styleId="75">
    <w:name w:val="样式3 Char"/>
    <w:basedOn w:val="54"/>
    <w:link w:val="74"/>
    <w:qFormat/>
    <w:uiPriority w:val="0"/>
    <w:rPr>
      <w:rFonts w:ascii="Calibri" w:hAnsi="Calibri" w:eastAsiaTheme="majorEastAsia" w:cstheme="majorBidi"/>
      <w:color w:val="000000" w:themeColor="text1"/>
      <w:kern w:val="2"/>
      <w:sz w:val="28"/>
      <w:szCs w:val="32"/>
      <w14:textFill>
        <w14:solidFill>
          <w14:schemeClr w14:val="tx1"/>
        </w14:solidFill>
      </w14:textFill>
    </w:rPr>
  </w:style>
  <w:style w:type="paragraph" w:customStyle="1" w:styleId="76">
    <w:name w:val="无间隔1"/>
    <w:qFormat/>
    <w:uiPriority w:val="1"/>
    <w:pPr>
      <w:spacing w:after="160" w:line="259" w:lineRule="auto"/>
    </w:pPr>
    <w:rPr>
      <w:rFonts w:asciiTheme="minorHAnsi" w:hAnsiTheme="minorHAnsi" w:eastAsiaTheme="minorEastAsia" w:cstheme="minorBidi"/>
      <w:sz w:val="22"/>
      <w:szCs w:val="22"/>
      <w:lang w:val="en-US" w:eastAsia="zh-CN" w:bidi="ar-SA"/>
    </w:rPr>
  </w:style>
  <w:style w:type="paragraph" w:customStyle="1" w:styleId="77">
    <w:name w:val="引用1"/>
    <w:basedOn w:val="1"/>
    <w:next w:val="1"/>
    <w:qFormat/>
    <w:uiPriority w:val="29"/>
    <w:pPr>
      <w:spacing w:before="160"/>
      <w:ind w:left="720" w:right="720"/>
    </w:pPr>
    <w:rPr>
      <w:i/>
      <w:iCs/>
      <w:color w:val="000000" w:themeColor="text1"/>
      <w14:textFill>
        <w14:solidFill>
          <w14:schemeClr w14:val="tx1"/>
        </w14:solidFill>
      </w14:textFill>
    </w:rPr>
  </w:style>
  <w:style w:type="character" w:customStyle="1" w:styleId="78">
    <w:name w:val="引用 Char"/>
    <w:basedOn w:val="37"/>
    <w:link w:val="79"/>
    <w:qFormat/>
    <w:uiPriority w:val="29"/>
    <w:rPr>
      <w:i/>
      <w:iCs/>
      <w:color w:val="000000" w:themeColor="text1"/>
      <w14:textFill>
        <w14:solidFill>
          <w14:schemeClr w14:val="tx1"/>
        </w14:solidFill>
      </w14:textFill>
    </w:rPr>
  </w:style>
  <w:style w:type="paragraph" w:customStyle="1" w:styleId="79">
    <w:name w:val="引用2"/>
    <w:basedOn w:val="1"/>
    <w:next w:val="1"/>
    <w:link w:val="78"/>
    <w:qFormat/>
    <w:uiPriority w:val="29"/>
    <w:pPr>
      <w:spacing w:before="160"/>
      <w:ind w:left="720" w:right="720"/>
    </w:pPr>
    <w:rPr>
      <w:i/>
      <w:iCs/>
      <w:color w:val="000000" w:themeColor="text1"/>
      <w14:textFill>
        <w14:solidFill>
          <w14:schemeClr w14:val="tx1"/>
        </w14:solidFill>
      </w14:textFill>
    </w:rPr>
  </w:style>
  <w:style w:type="paragraph" w:customStyle="1" w:styleId="80">
    <w:name w:val="明显引用1"/>
    <w:basedOn w:val="1"/>
    <w:next w:val="1"/>
    <w:qFormat/>
    <w:uiPriority w:val="30"/>
    <w:pPr>
      <w:pBdr>
        <w:top w:val="single" w:color="F1F1F1" w:themeColor="background1" w:themeShade="F2" w:sz="24" w:space="1"/>
        <w:bottom w:val="single" w:color="F1F1F1" w:themeColor="background1" w:themeShade="F2" w:sz="24" w:space="1"/>
      </w:pBdr>
      <w:shd w:val="clear" w:color="auto" w:fill="F1F1F1" w:themeFill="background1" w:themeFillShade="F2"/>
      <w:spacing w:before="240" w:after="240"/>
      <w:ind w:left="936" w:right="936"/>
      <w:jc w:val="center"/>
    </w:pPr>
    <w:rPr>
      <w:color w:val="000000" w:themeColor="text1"/>
      <w14:textFill>
        <w14:solidFill>
          <w14:schemeClr w14:val="tx1"/>
        </w14:solidFill>
      </w14:textFill>
    </w:rPr>
  </w:style>
  <w:style w:type="character" w:customStyle="1" w:styleId="81">
    <w:name w:val="明显引用 Char"/>
    <w:basedOn w:val="37"/>
    <w:link w:val="82"/>
    <w:qFormat/>
    <w:uiPriority w:val="30"/>
    <w:rPr>
      <w:color w:val="000000" w:themeColor="text1"/>
      <w:shd w:val="clear" w:color="auto" w:fill="F1F1F1" w:themeFill="background1" w:themeFillShade="F2"/>
      <w14:textFill>
        <w14:solidFill>
          <w14:schemeClr w14:val="tx1"/>
        </w14:solidFill>
      </w14:textFill>
    </w:rPr>
  </w:style>
  <w:style w:type="paragraph" w:customStyle="1" w:styleId="82">
    <w:name w:val="明显引用2"/>
    <w:basedOn w:val="1"/>
    <w:next w:val="1"/>
    <w:link w:val="81"/>
    <w:qFormat/>
    <w:uiPriority w:val="30"/>
    <w:pPr>
      <w:pBdr>
        <w:top w:val="single" w:color="F1F1F1" w:themeColor="background1" w:themeShade="F2" w:sz="24" w:space="1"/>
        <w:bottom w:val="single" w:color="F1F1F1" w:themeColor="background1" w:themeShade="F2" w:sz="24" w:space="1"/>
      </w:pBdr>
      <w:shd w:val="clear" w:color="auto" w:fill="F1F1F1" w:themeFill="background1" w:themeFillShade="F2"/>
      <w:spacing w:before="240" w:after="240"/>
      <w:ind w:left="936" w:right="936"/>
      <w:jc w:val="center"/>
    </w:pPr>
    <w:rPr>
      <w:color w:val="000000" w:themeColor="text1"/>
      <w14:textFill>
        <w14:solidFill>
          <w14:schemeClr w14:val="tx1"/>
        </w14:solidFill>
      </w14:textFill>
    </w:rPr>
  </w:style>
  <w:style w:type="character" w:customStyle="1" w:styleId="83">
    <w:name w:val="不明显强调1"/>
    <w:basedOn w:val="37"/>
    <w:qFormat/>
    <w:uiPriority w:val="19"/>
    <w:rPr>
      <w:i/>
      <w:iCs/>
      <w:color w:val="404040" w:themeColor="text1" w:themeTint="BF"/>
      <w14:textFill>
        <w14:solidFill>
          <w14:schemeClr w14:val="tx1">
            <w14:lumMod w14:val="75000"/>
            <w14:lumOff w14:val="25000"/>
          </w14:schemeClr>
        </w14:solidFill>
      </w14:textFill>
    </w:rPr>
  </w:style>
  <w:style w:type="character" w:customStyle="1" w:styleId="84">
    <w:name w:val="明显强调1"/>
    <w:basedOn w:val="37"/>
    <w:qFormat/>
    <w:uiPriority w:val="21"/>
    <w:rPr>
      <w:b/>
      <w:bCs/>
      <w:i/>
      <w:iCs/>
      <w:caps/>
    </w:rPr>
  </w:style>
  <w:style w:type="character" w:customStyle="1" w:styleId="85">
    <w:name w:val="不明显参考2"/>
    <w:basedOn w:val="37"/>
    <w:qFormat/>
    <w:uiPriority w:val="31"/>
    <w:rPr>
      <w:smallCaps/>
      <w:color w:val="404040" w:themeColor="text1" w:themeTint="BF"/>
      <w:u w:val="single" w:color="7E7E7E" w:themeColor="text1" w:themeTint="80"/>
      <w14:textFill>
        <w14:solidFill>
          <w14:schemeClr w14:val="tx1">
            <w14:lumMod w14:val="75000"/>
            <w14:lumOff w14:val="25000"/>
          </w14:schemeClr>
        </w14:solidFill>
      </w14:textFill>
    </w:rPr>
  </w:style>
  <w:style w:type="character" w:customStyle="1" w:styleId="86">
    <w:name w:val="明显参考1"/>
    <w:basedOn w:val="37"/>
    <w:qFormat/>
    <w:uiPriority w:val="32"/>
    <w:rPr>
      <w:b/>
      <w:bCs/>
      <w:smallCaps/>
      <w:u w:val="single"/>
    </w:rPr>
  </w:style>
  <w:style w:type="character" w:customStyle="1" w:styleId="87">
    <w:name w:val="书籍标题1"/>
    <w:basedOn w:val="37"/>
    <w:qFormat/>
    <w:uiPriority w:val="33"/>
    <w:rPr>
      <w:smallCaps/>
      <w:spacing w:val="5"/>
    </w:rPr>
  </w:style>
  <w:style w:type="paragraph" w:customStyle="1" w:styleId="88">
    <w:name w:val="TOC 标题2"/>
    <w:basedOn w:val="2"/>
    <w:next w:val="1"/>
    <w:unhideWhenUsed/>
    <w:qFormat/>
    <w:uiPriority w:val="39"/>
    <w:pPr>
      <w:outlineLvl w:val="9"/>
    </w:pPr>
  </w:style>
  <w:style w:type="character" w:customStyle="1" w:styleId="89">
    <w:name w:val="16"/>
    <w:basedOn w:val="37"/>
    <w:qFormat/>
    <w:uiPriority w:val="0"/>
    <w:rPr>
      <w:rFonts w:hint="default" w:ascii="Times New Roman" w:hAnsi="Times New Roman" w:cs="Times New Roman"/>
      <w:color w:val="800080"/>
      <w:u w:val="single"/>
    </w:rPr>
  </w:style>
  <w:style w:type="paragraph" w:customStyle="1" w:styleId="90">
    <w:name w:val="mb10"/>
    <w:basedOn w:val="1"/>
    <w:qFormat/>
    <w:uiPriority w:val="0"/>
    <w:pPr>
      <w:spacing w:before="100" w:beforeAutospacing="1" w:after="100" w:afterAutospacing="1" w:line="240" w:lineRule="auto"/>
    </w:pPr>
    <w:rPr>
      <w:rFonts w:ascii="宋体" w:hAnsi="宋体" w:eastAsia="宋体" w:cs="宋体"/>
      <w:sz w:val="24"/>
      <w:szCs w:val="24"/>
    </w:rPr>
  </w:style>
  <w:style w:type="character" w:customStyle="1" w:styleId="91">
    <w:name w:val="脚注文本 字符"/>
    <w:basedOn w:val="37"/>
    <w:link w:val="28"/>
    <w:semiHidden/>
    <w:qFormat/>
    <w:uiPriority w:val="0"/>
    <w:rPr>
      <w:sz w:val="18"/>
      <w:szCs w:val="18"/>
    </w:rPr>
  </w:style>
  <w:style w:type="paragraph" w:customStyle="1" w:styleId="92">
    <w:name w:val="列出段落3"/>
    <w:basedOn w:val="1"/>
    <w:qFormat/>
    <w:uiPriority w:val="99"/>
    <w:pPr>
      <w:ind w:firstLine="420" w:firstLineChars="200"/>
    </w:pPr>
  </w:style>
  <w:style w:type="paragraph" w:customStyle="1" w:styleId="93">
    <w:name w:val="内容标题格式"/>
    <w:basedOn w:val="45"/>
    <w:qFormat/>
    <w:uiPriority w:val="0"/>
    <w:pPr>
      <w:widowControl w:val="0"/>
      <w:numPr>
        <w:ilvl w:val="0"/>
        <w:numId w:val="4"/>
      </w:numPr>
      <w:spacing w:beforeLines="50" w:beforeAutospacing="1" w:after="0" w:afterLines="50" w:afterAutospacing="1" w:line="360" w:lineRule="auto"/>
      <w:ind w:firstLine="0" w:firstLineChars="0"/>
      <w:jc w:val="both"/>
    </w:pPr>
    <w:rPr>
      <w:rFonts w:ascii="Calibri" w:hAnsi="Calibri" w:eastAsia="宋体" w:cs="黑体"/>
      <w:b/>
      <w:kern w:val="2"/>
      <w:sz w:val="24"/>
      <w:szCs w:val="24"/>
    </w:rPr>
  </w:style>
  <w:style w:type="character" w:customStyle="1" w:styleId="94">
    <w:name w:val="批注主题 字符"/>
    <w:basedOn w:val="69"/>
    <w:link w:val="33"/>
    <w:semiHidden/>
    <w:qFormat/>
    <w:uiPriority w:val="0"/>
    <w:rPr>
      <w:rFonts w:ascii="Calibri" w:hAnsi="Calibri" w:eastAsia="宋体"/>
      <w:b/>
      <w:bCs/>
      <w:kern w:val="2"/>
      <w:sz w:val="22"/>
      <w:szCs w:val="22"/>
    </w:rPr>
  </w:style>
  <w:style w:type="paragraph" w:customStyle="1" w:styleId="95">
    <w:name w:val="列出段落4"/>
    <w:basedOn w:val="1"/>
    <w:qFormat/>
    <w:uiPriority w:val="99"/>
    <w:pPr>
      <w:ind w:firstLine="420" w:firstLineChars="200"/>
    </w:pPr>
  </w:style>
  <w:style w:type="paragraph" w:customStyle="1" w:styleId="96">
    <w:name w:val="无间隔2"/>
    <w:qFormat/>
    <w:uiPriority w:val="1"/>
    <w:rPr>
      <w:rFonts w:asciiTheme="minorHAnsi" w:hAnsiTheme="minorHAnsi" w:eastAsiaTheme="minorEastAsia" w:cstheme="minorBidi"/>
      <w:sz w:val="22"/>
      <w:szCs w:val="22"/>
      <w:lang w:val="en-US" w:eastAsia="zh-CN" w:bidi="ar-SA"/>
    </w:rPr>
  </w:style>
  <w:style w:type="paragraph" w:customStyle="1" w:styleId="97">
    <w:name w:val="列出段落5"/>
    <w:basedOn w:val="1"/>
    <w:qFormat/>
    <w:uiPriority w:val="34"/>
    <w:pPr>
      <w:ind w:firstLine="420" w:firstLineChars="200"/>
    </w:pPr>
  </w:style>
  <w:style w:type="character" w:customStyle="1" w:styleId="98">
    <w:name w:val="引用 Char1"/>
    <w:basedOn w:val="37"/>
    <w:qFormat/>
    <w:uiPriority w:val="99"/>
    <w:rPr>
      <w:i/>
      <w:iCs/>
      <w:color w:val="404040" w:themeColor="text1" w:themeTint="BF"/>
      <w:sz w:val="24"/>
      <w:szCs w:val="24"/>
      <w14:textFill>
        <w14:solidFill>
          <w14:schemeClr w14:val="tx1">
            <w14:lumMod w14:val="75000"/>
            <w14:lumOff w14:val="25000"/>
          </w14:schemeClr>
        </w14:solidFill>
      </w14:textFill>
    </w:rPr>
  </w:style>
  <w:style w:type="character" w:customStyle="1" w:styleId="99">
    <w:name w:val="明显引用 Char1"/>
    <w:basedOn w:val="37"/>
    <w:qFormat/>
    <w:uiPriority w:val="99"/>
    <w:rPr>
      <w:i/>
      <w:iCs/>
      <w:color w:val="4F81BD" w:themeColor="accent1"/>
      <w:sz w:val="24"/>
      <w:szCs w:val="24"/>
      <w14:textFill>
        <w14:solidFill>
          <w14:schemeClr w14:val="accent1"/>
        </w14:solidFill>
      </w14:textFill>
    </w:rPr>
  </w:style>
  <w:style w:type="character" w:customStyle="1" w:styleId="100">
    <w:name w:val="不明显强调2"/>
    <w:basedOn w:val="37"/>
    <w:qFormat/>
    <w:uiPriority w:val="19"/>
    <w:rPr>
      <w:i/>
      <w:iCs/>
      <w:color w:val="404040" w:themeColor="text1" w:themeTint="BF"/>
      <w14:textFill>
        <w14:solidFill>
          <w14:schemeClr w14:val="tx1">
            <w14:lumMod w14:val="75000"/>
            <w14:lumOff w14:val="25000"/>
          </w14:schemeClr>
        </w14:solidFill>
      </w14:textFill>
    </w:rPr>
  </w:style>
  <w:style w:type="character" w:customStyle="1" w:styleId="101">
    <w:name w:val="明显强调2"/>
    <w:basedOn w:val="37"/>
    <w:qFormat/>
    <w:uiPriority w:val="21"/>
    <w:rPr>
      <w:b/>
      <w:bCs/>
      <w:i/>
      <w:iCs/>
      <w:caps/>
    </w:rPr>
  </w:style>
  <w:style w:type="character" w:customStyle="1" w:styleId="102">
    <w:name w:val="不明显参考3"/>
    <w:basedOn w:val="37"/>
    <w:qFormat/>
    <w:uiPriority w:val="31"/>
    <w:rPr>
      <w:smallCaps/>
      <w:color w:val="404040" w:themeColor="text1" w:themeTint="BF"/>
      <w:u w:val="single" w:color="7E7E7E" w:themeColor="text1" w:themeTint="80"/>
      <w14:textFill>
        <w14:solidFill>
          <w14:schemeClr w14:val="tx1">
            <w14:lumMod w14:val="75000"/>
            <w14:lumOff w14:val="25000"/>
          </w14:schemeClr>
        </w14:solidFill>
      </w14:textFill>
    </w:rPr>
  </w:style>
  <w:style w:type="character" w:customStyle="1" w:styleId="103">
    <w:name w:val="明显参考2"/>
    <w:basedOn w:val="37"/>
    <w:qFormat/>
    <w:uiPriority w:val="32"/>
    <w:rPr>
      <w:b/>
      <w:bCs/>
      <w:smallCaps/>
      <w:u w:val="single"/>
    </w:rPr>
  </w:style>
  <w:style w:type="character" w:customStyle="1" w:styleId="104">
    <w:name w:val="书籍标题2"/>
    <w:basedOn w:val="37"/>
    <w:qFormat/>
    <w:uiPriority w:val="33"/>
    <w:rPr>
      <w:smallCaps/>
      <w:spacing w:val="5"/>
    </w:rPr>
  </w:style>
  <w:style w:type="paragraph" w:customStyle="1" w:styleId="105">
    <w:name w:val="TOC 标题3"/>
    <w:basedOn w:val="2"/>
    <w:next w:val="1"/>
    <w:unhideWhenUsed/>
    <w:qFormat/>
    <w:uiPriority w:val="39"/>
    <w:pPr>
      <w:outlineLvl w:val="9"/>
    </w:pPr>
  </w:style>
  <w:style w:type="paragraph" w:customStyle="1" w:styleId="106">
    <w:name w:val="列表段落1"/>
    <w:basedOn w:val="1"/>
    <w:qFormat/>
    <w:uiPriority w:val="99"/>
    <w:pPr>
      <w:ind w:firstLine="420" w:firstLineChars="200"/>
    </w:pPr>
  </w:style>
  <w:style w:type="paragraph" w:customStyle="1" w:styleId="107">
    <w:name w:val="样式1"/>
    <w:basedOn w:val="5"/>
    <w:link w:val="110"/>
    <w:qFormat/>
    <w:uiPriority w:val="0"/>
    <w:pPr>
      <w:numPr>
        <w:numId w:val="5"/>
      </w:numPr>
      <w:spacing w:line="360" w:lineRule="auto"/>
      <w:ind w:left="998" w:leftChars="100"/>
    </w:pPr>
    <w:rPr>
      <w:rFonts w:ascii="Calibri Light" w:hAnsi="Calibri Light" w:eastAsia="宋体" w:cs="Times New Roman"/>
      <w:color w:val="000000"/>
      <w:sz w:val="30"/>
    </w:rPr>
  </w:style>
  <w:style w:type="character" w:customStyle="1" w:styleId="108">
    <w:name w:val="正文文本首行缩进 字符"/>
    <w:basedOn w:val="109"/>
    <w:link w:val="13"/>
    <w:qFormat/>
    <w:uiPriority w:val="0"/>
    <w:rPr>
      <w:rFonts w:hint="default" w:ascii="Times New Roman" w:hAnsi="Times New Roman" w:eastAsia="仿宋_GB2312" w:cs="Times New Roman"/>
      <w:kern w:val="2"/>
      <w:sz w:val="28"/>
      <w:szCs w:val="21"/>
    </w:rPr>
  </w:style>
  <w:style w:type="character" w:customStyle="1" w:styleId="109">
    <w:name w:val="正文文本 字符"/>
    <w:basedOn w:val="37"/>
    <w:link w:val="14"/>
    <w:qFormat/>
    <w:uiPriority w:val="0"/>
    <w:rPr>
      <w:rFonts w:hint="default" w:ascii="Calibri" w:hAnsi="Calibri" w:eastAsia="宋体" w:cs="Times New Roman"/>
      <w:sz w:val="22"/>
      <w:szCs w:val="22"/>
    </w:rPr>
  </w:style>
  <w:style w:type="character" w:customStyle="1" w:styleId="110">
    <w:name w:val="样式1 Char"/>
    <w:link w:val="107"/>
    <w:qFormat/>
    <w:uiPriority w:val="0"/>
    <w:rPr>
      <w:rFonts w:hint="default" w:ascii="Calibri Light" w:hAnsi="Calibri Light" w:eastAsia="宋体" w:cs="Times New Roman"/>
      <w:b/>
      <w:color w:val="000000"/>
      <w:sz w:val="30"/>
      <w:szCs w:val="22"/>
    </w:rPr>
  </w:style>
  <w:style w:type="paragraph" w:customStyle="1" w:styleId="111">
    <w:name w:val="居中标题"/>
    <w:basedOn w:val="17"/>
    <w:qFormat/>
    <w:uiPriority w:val="0"/>
    <w:pPr>
      <w:ind w:left="210" w:hanging="210"/>
      <w:jc w:val="center"/>
    </w:pPr>
    <w:rPr>
      <w:rFonts w:cs="宋体"/>
      <w:b/>
      <w:sz w:val="3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2.emf"/><Relationship Id="rId17" Type="http://schemas.openxmlformats.org/officeDocument/2006/relationships/oleObject" Target="embeddings/oleObject1.bin"/><Relationship Id="rId16" Type="http://schemas.openxmlformats.org/officeDocument/2006/relationships/theme" Target="theme/theme1.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footer" Target="footer3.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header" Target="header4.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福建博思软件股份有限公司</Company>
  <Pages>70</Pages>
  <Words>16251</Words>
  <Characters>27511</Characters>
  <Lines>875</Lines>
  <Paragraphs>246</Paragraphs>
  <TotalTime>27</TotalTime>
  <ScaleCrop>false</ScaleCrop>
  <LinksUpToDate>false</LinksUpToDate>
  <CharactersWithSpaces>29794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2023-04-03T06:49:00Z</dcterms:created>
  <dc:creator>admin</dc:creator>
  <cp:lastModifiedBy>冯辉</cp:lastModifiedBy>
  <dcterms:modified xsi:type="dcterms:W3CDTF">2023-10-11T08:25:29Z</dcterms:modified>
  <dc:title>福建博思软件股份有限公司</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28E42C98E8E145C388B2287F166CAFBE</vt:lpwstr>
  </property>
</Properties>
</file>